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2FBDB" w14:textId="744C9B10" w:rsidR="006544D6" w:rsidRPr="00BF428C" w:rsidRDefault="00972AA8" w:rsidP="006544D6">
      <w:pPr>
        <w:jc w:val="center"/>
        <w:rPr>
          <w:rFonts w:ascii="Arial" w:hAnsi="Arial" w:cs="Arial"/>
          <w:b/>
          <w:sz w:val="24"/>
          <w:szCs w:val="24"/>
          <w:lang w:val="pt-BR"/>
        </w:rPr>
      </w:pPr>
      <w:r>
        <w:rPr>
          <w:rFonts w:ascii="Arial" w:hAnsi="Arial" w:cs="Arial"/>
          <w:b/>
          <w:sz w:val="30"/>
          <w:szCs w:val="30"/>
          <w:lang w:val="pt-BR"/>
        </w:rPr>
        <w:t>Acuerdo comercial entre DAPSA y Total Especialidades Argentina</w:t>
      </w:r>
    </w:p>
    <w:p w14:paraId="5505015C" w14:textId="77777777" w:rsidR="006544D6" w:rsidRDefault="006544D6" w:rsidP="006544D6">
      <w:pPr>
        <w:jc w:val="both"/>
        <w:rPr>
          <w:rFonts w:ascii="Arial" w:hAnsi="Arial" w:cs="Arial"/>
          <w:b/>
          <w:lang w:val="pt-BR"/>
        </w:rPr>
      </w:pPr>
    </w:p>
    <w:p w14:paraId="3C12098D" w14:textId="77777777" w:rsidR="006544D6" w:rsidRPr="00F56233" w:rsidRDefault="006544D6" w:rsidP="006544D6">
      <w:pPr>
        <w:jc w:val="both"/>
        <w:rPr>
          <w:rFonts w:ascii="Arial" w:hAnsi="Arial" w:cs="Arial"/>
          <w:bCs/>
        </w:rPr>
      </w:pPr>
      <w:r w:rsidRPr="00F56233">
        <w:rPr>
          <w:rFonts w:ascii="Arial" w:hAnsi="Arial" w:cs="Arial"/>
          <w:b/>
        </w:rPr>
        <w:t xml:space="preserve">Buenos Aires, 28 de octubre 2020 - </w:t>
      </w:r>
      <w:r w:rsidRPr="005E5EF8">
        <w:rPr>
          <w:rFonts w:ascii="Arial" w:hAnsi="Arial" w:cs="Arial"/>
          <w:b/>
          <w:bCs/>
        </w:rPr>
        <w:t>Total Especialidades Argentina</w:t>
      </w:r>
      <w:r w:rsidRPr="00F56233">
        <w:rPr>
          <w:rFonts w:ascii="Arial" w:hAnsi="Arial" w:cs="Arial"/>
          <w:bCs/>
        </w:rPr>
        <w:t>, la compañía líder e</w:t>
      </w:r>
      <w:r>
        <w:rPr>
          <w:rFonts w:ascii="Arial" w:hAnsi="Arial" w:cs="Arial"/>
          <w:bCs/>
        </w:rPr>
        <w:t>n</w:t>
      </w:r>
      <w:r w:rsidRPr="00F56233">
        <w:rPr>
          <w:rFonts w:ascii="Arial" w:hAnsi="Arial" w:cs="Arial"/>
          <w:bCs/>
        </w:rPr>
        <w:t xml:space="preserve"> el desarrollo de lubricantes de última tecnolog</w:t>
      </w:r>
      <w:r>
        <w:rPr>
          <w:rFonts w:ascii="Arial" w:hAnsi="Arial" w:cs="Arial"/>
          <w:bCs/>
        </w:rPr>
        <w:t>í</w:t>
      </w:r>
      <w:r w:rsidRPr="00F56233">
        <w:rPr>
          <w:rFonts w:ascii="Arial" w:hAnsi="Arial" w:cs="Arial"/>
          <w:bCs/>
        </w:rPr>
        <w:t xml:space="preserve">a, </w:t>
      </w:r>
      <w:r w:rsidRPr="005E5EF8">
        <w:rPr>
          <w:rFonts w:ascii="Arial" w:hAnsi="Arial" w:cs="Arial"/>
          <w:b/>
          <w:bCs/>
        </w:rPr>
        <w:t>anuncia</w:t>
      </w:r>
      <w:r w:rsidRPr="00F56233">
        <w:rPr>
          <w:rFonts w:ascii="Arial" w:hAnsi="Arial" w:cs="Arial"/>
          <w:bCs/>
        </w:rPr>
        <w:t xml:space="preserve"> </w:t>
      </w:r>
      <w:r w:rsidRPr="005E5EF8">
        <w:rPr>
          <w:rFonts w:ascii="Arial" w:hAnsi="Arial" w:cs="Arial"/>
          <w:b/>
          <w:bCs/>
        </w:rPr>
        <w:t>una alianza estratégica y comercial con DAPSA</w:t>
      </w:r>
      <w:r w:rsidRPr="00F56233">
        <w:rPr>
          <w:rFonts w:ascii="Arial" w:hAnsi="Arial" w:cs="Arial"/>
          <w:bCs/>
        </w:rPr>
        <w:t>, Destilería Argentina de Petróleo para comercializar los lubricantes TOTAL y ELF.</w:t>
      </w:r>
    </w:p>
    <w:p w14:paraId="1B054BFA" w14:textId="56FA5C6D" w:rsidR="006544D6" w:rsidRDefault="006544D6" w:rsidP="006544D6">
      <w:pPr>
        <w:jc w:val="both"/>
        <w:rPr>
          <w:rFonts w:ascii="Arial" w:hAnsi="Arial" w:cs="Arial"/>
          <w:bCs/>
        </w:rPr>
      </w:pPr>
      <w:r w:rsidRPr="00F56233">
        <w:rPr>
          <w:rFonts w:ascii="Arial" w:hAnsi="Arial" w:cs="Arial"/>
          <w:bCs/>
        </w:rPr>
        <w:t xml:space="preserve">Gracias a la alianza de 3 años, </w:t>
      </w:r>
      <w:r w:rsidRPr="005E5EF8">
        <w:rPr>
          <w:rFonts w:ascii="Arial" w:hAnsi="Arial" w:cs="Arial"/>
          <w:b/>
          <w:bCs/>
        </w:rPr>
        <w:t>DAPSA ofrecerá lubricantes TOTAL y ELF para el segmento de autos y motos en su red de más de 1</w:t>
      </w:r>
      <w:r w:rsidR="00710EA8">
        <w:rPr>
          <w:rFonts w:ascii="Arial" w:hAnsi="Arial" w:cs="Arial"/>
          <w:b/>
          <w:bCs/>
        </w:rPr>
        <w:t>8</w:t>
      </w:r>
      <w:bookmarkStart w:id="0" w:name="_GoBack"/>
      <w:bookmarkEnd w:id="0"/>
      <w:r w:rsidRPr="005E5EF8">
        <w:rPr>
          <w:rFonts w:ascii="Arial" w:hAnsi="Arial" w:cs="Arial"/>
          <w:b/>
          <w:bCs/>
        </w:rPr>
        <w:t>0 es</w:t>
      </w:r>
      <w:r w:rsidR="005E5EF8">
        <w:rPr>
          <w:rFonts w:ascii="Arial" w:hAnsi="Arial" w:cs="Arial"/>
          <w:b/>
          <w:bCs/>
        </w:rPr>
        <w:t>taciones de servicio ubicadas en</w:t>
      </w:r>
      <w:r w:rsidRPr="005E5EF8">
        <w:rPr>
          <w:rFonts w:ascii="Arial" w:hAnsi="Arial" w:cs="Arial"/>
          <w:b/>
          <w:bCs/>
        </w:rPr>
        <w:t xml:space="preserve"> </w:t>
      </w:r>
      <w:r w:rsidR="00861E8F" w:rsidRPr="00861E8F">
        <w:rPr>
          <w:rFonts w:ascii="Arial" w:hAnsi="Arial" w:cs="Arial"/>
          <w:bCs/>
        </w:rPr>
        <w:t>Buenos Aires, Córdoba, Tucumán, Santa Fe, La Rioja, Santiago del Estero, Entre Ríos, Catamarca, Corrientes, Chaco y Mendoza</w:t>
      </w:r>
      <w:r w:rsidRPr="00F56233">
        <w:rPr>
          <w:rFonts w:ascii="Arial" w:hAnsi="Arial" w:cs="Arial"/>
          <w:bCs/>
        </w:rPr>
        <w:t xml:space="preserve">. Las estaciones continuarán ofreciendo la línea para vehículos pesados DAPSA </w:t>
      </w:r>
      <w:r w:rsidR="00861E8F" w:rsidRPr="00861E8F">
        <w:rPr>
          <w:rFonts w:ascii="Arial" w:hAnsi="Arial" w:cs="Arial"/>
          <w:bCs/>
        </w:rPr>
        <w:t>El3ment</w:t>
      </w:r>
      <w:r w:rsidRPr="00F56233">
        <w:rPr>
          <w:rFonts w:ascii="Arial" w:hAnsi="Arial" w:cs="Arial"/>
          <w:bCs/>
        </w:rPr>
        <w:t>.</w:t>
      </w:r>
    </w:p>
    <w:p w14:paraId="354082EC" w14:textId="53B468C5" w:rsidR="006544D6" w:rsidRPr="005E5EF8" w:rsidRDefault="006544D6" w:rsidP="006544D6">
      <w:pPr>
        <w:jc w:val="both"/>
        <w:rPr>
          <w:rFonts w:ascii="Arial" w:hAnsi="Arial" w:cs="Arial"/>
          <w:b/>
          <w:bCs/>
          <w:lang w:val="pt-BR"/>
        </w:rPr>
      </w:pPr>
      <w:r w:rsidRPr="005E5EF8">
        <w:rPr>
          <w:rFonts w:ascii="Arial" w:hAnsi="Arial" w:cs="Arial"/>
          <w:bCs/>
          <w:i/>
        </w:rPr>
        <w:t xml:space="preserve">“El objetivo de este acuerdo es expandir la disponibilidad de nuestros productos en el canal de </w:t>
      </w:r>
      <w:r w:rsidR="00B83F44">
        <w:rPr>
          <w:rFonts w:ascii="Arial" w:hAnsi="Arial" w:cs="Arial"/>
          <w:bCs/>
          <w:i/>
        </w:rPr>
        <w:t>Estaciones de Servicio</w:t>
      </w:r>
      <w:r w:rsidRPr="005E5EF8">
        <w:rPr>
          <w:rFonts w:ascii="Arial" w:hAnsi="Arial" w:cs="Arial"/>
          <w:bCs/>
          <w:i/>
        </w:rPr>
        <w:t xml:space="preserve"> que hoy en día representa el 7% de las ventas de lubricantes en el país. Este tipo de acuerdo es clave para nosotros</w:t>
      </w:r>
      <w:r w:rsidR="00B83F44">
        <w:rPr>
          <w:rFonts w:ascii="Arial" w:hAnsi="Arial" w:cs="Arial"/>
          <w:bCs/>
          <w:i/>
        </w:rPr>
        <w:t xml:space="preserve"> con el fin de continuar ofreciendo </w:t>
      </w:r>
      <w:r w:rsidRPr="005E5EF8">
        <w:rPr>
          <w:rFonts w:ascii="Arial" w:hAnsi="Arial" w:cs="Arial"/>
          <w:bCs/>
          <w:i/>
        </w:rPr>
        <w:t xml:space="preserve">al </w:t>
      </w:r>
      <w:r w:rsidRPr="00B83F44">
        <w:rPr>
          <w:rFonts w:ascii="Arial" w:hAnsi="Arial" w:cs="Arial"/>
          <w:bCs/>
          <w:i/>
        </w:rPr>
        <w:t>consumidor final la gama de lubricantes TOTAL y ELF para todo tipo de vehículos ligeros</w:t>
      </w:r>
      <w:r w:rsidRPr="00B83F44">
        <w:rPr>
          <w:rFonts w:ascii="Arial" w:hAnsi="Arial" w:cs="Arial"/>
          <w:bCs/>
        </w:rPr>
        <w:t>” coment</w:t>
      </w:r>
      <w:r w:rsidR="00B83F44" w:rsidRPr="00B83F44">
        <w:rPr>
          <w:rFonts w:ascii="Arial" w:hAnsi="Arial" w:cs="Arial"/>
          <w:bCs/>
        </w:rPr>
        <w:t xml:space="preserve">ó </w:t>
      </w:r>
      <w:r w:rsidRPr="00B83F44">
        <w:rPr>
          <w:rFonts w:ascii="Arial" w:hAnsi="Arial" w:cs="Arial"/>
          <w:bCs/>
        </w:rPr>
        <w:t xml:space="preserve">María Eugenia Patalagoity, </w:t>
      </w:r>
      <w:r w:rsidR="009047CC" w:rsidRPr="00B83F44">
        <w:rPr>
          <w:rFonts w:ascii="Arial" w:hAnsi="Arial" w:cs="Arial"/>
          <w:bCs/>
        </w:rPr>
        <w:t>D</w:t>
      </w:r>
      <w:r w:rsidRPr="00B83F44">
        <w:rPr>
          <w:rFonts w:ascii="Arial" w:hAnsi="Arial" w:cs="Arial"/>
          <w:bCs/>
        </w:rPr>
        <w:t xml:space="preserve">irectora </w:t>
      </w:r>
      <w:r w:rsidR="009047CC" w:rsidRPr="00B83F44">
        <w:rPr>
          <w:rFonts w:ascii="Arial" w:hAnsi="Arial" w:cs="Arial"/>
          <w:bCs/>
        </w:rPr>
        <w:t>C</w:t>
      </w:r>
      <w:r w:rsidRPr="00B83F44">
        <w:rPr>
          <w:rFonts w:ascii="Arial" w:hAnsi="Arial" w:cs="Arial"/>
          <w:bCs/>
        </w:rPr>
        <w:t>omercial de Total Especialidades Argentina.</w:t>
      </w:r>
    </w:p>
    <w:p w14:paraId="06EB6E0E" w14:textId="3C3377C2" w:rsidR="006544D6" w:rsidRPr="0050684D" w:rsidRDefault="006544D6" w:rsidP="006544D6">
      <w:pPr>
        <w:jc w:val="both"/>
        <w:rPr>
          <w:rFonts w:ascii="Arial" w:hAnsi="Arial" w:cs="Arial"/>
          <w:bCs/>
          <w:lang w:val="pt-BR"/>
        </w:rPr>
      </w:pPr>
      <w:r w:rsidRPr="005E5EF8">
        <w:rPr>
          <w:rFonts w:ascii="Arial" w:hAnsi="Arial" w:cs="Arial"/>
          <w:b/>
          <w:bCs/>
        </w:rPr>
        <w:t xml:space="preserve">Hugo David, </w:t>
      </w:r>
      <w:r w:rsidR="00B83F44">
        <w:rPr>
          <w:rFonts w:ascii="Arial" w:hAnsi="Arial" w:cs="Arial"/>
          <w:b/>
          <w:bCs/>
        </w:rPr>
        <w:t>D</w:t>
      </w:r>
      <w:r w:rsidRPr="005E5EF8">
        <w:rPr>
          <w:rFonts w:ascii="Arial" w:hAnsi="Arial" w:cs="Arial"/>
          <w:b/>
          <w:bCs/>
        </w:rPr>
        <w:t xml:space="preserve">irector </w:t>
      </w:r>
      <w:r w:rsidR="009047CC">
        <w:rPr>
          <w:rFonts w:ascii="Arial" w:hAnsi="Arial" w:cs="Arial"/>
          <w:b/>
          <w:bCs/>
        </w:rPr>
        <w:t>C</w:t>
      </w:r>
      <w:r w:rsidRPr="005E5EF8">
        <w:rPr>
          <w:rFonts w:ascii="Arial" w:hAnsi="Arial" w:cs="Arial"/>
          <w:b/>
          <w:bCs/>
        </w:rPr>
        <w:t>omercial y de RI de DAPSA</w:t>
      </w:r>
      <w:r w:rsidRPr="00F56233">
        <w:rPr>
          <w:rFonts w:ascii="Arial" w:hAnsi="Arial" w:cs="Arial"/>
          <w:bCs/>
        </w:rPr>
        <w:t xml:space="preserve"> comentó: “</w:t>
      </w:r>
      <w:r w:rsidRPr="005E5EF8">
        <w:rPr>
          <w:rFonts w:ascii="Arial" w:hAnsi="Arial" w:cs="Arial"/>
          <w:bCs/>
          <w:i/>
        </w:rPr>
        <w:t xml:space="preserve">El acuerdo alcanzado con Total Especialidades Argentina responde a dos objetivos de la estrategia de desarrollo de la red DAPSA: el primero está vinculado al compromiso adquirido con nuestros </w:t>
      </w:r>
      <w:r w:rsidR="00B83F44">
        <w:rPr>
          <w:rFonts w:ascii="Arial" w:hAnsi="Arial" w:cs="Arial"/>
          <w:bCs/>
          <w:i/>
        </w:rPr>
        <w:t>o</w:t>
      </w:r>
      <w:r w:rsidRPr="005E5EF8">
        <w:rPr>
          <w:rFonts w:ascii="Arial" w:hAnsi="Arial" w:cs="Arial"/>
          <w:bCs/>
          <w:i/>
        </w:rPr>
        <w:t xml:space="preserve">peradores de incorporar una gama de lubricantes con una sólida reputación y participación en el mercado argentino, como es el caso de TOTAL y ELF. El segundo objetivo </w:t>
      </w:r>
      <w:r w:rsidR="00B83F44">
        <w:rPr>
          <w:rFonts w:ascii="Arial" w:hAnsi="Arial" w:cs="Arial"/>
          <w:bCs/>
          <w:i/>
        </w:rPr>
        <w:t xml:space="preserve">es </w:t>
      </w:r>
      <w:r w:rsidRPr="005E5EF8">
        <w:rPr>
          <w:rFonts w:ascii="Arial" w:hAnsi="Arial" w:cs="Arial"/>
          <w:bCs/>
          <w:i/>
        </w:rPr>
        <w:t xml:space="preserve">ser una opción concreta como canal comercial para que nuestros clientes puedan obtener combustibles y lubricantes en </w:t>
      </w:r>
      <w:r w:rsidR="00B83F44">
        <w:rPr>
          <w:rFonts w:ascii="Arial" w:hAnsi="Arial" w:cs="Arial"/>
          <w:bCs/>
          <w:i/>
        </w:rPr>
        <w:t>un</w:t>
      </w:r>
      <w:r w:rsidRPr="005E5EF8">
        <w:rPr>
          <w:rFonts w:ascii="Arial" w:hAnsi="Arial" w:cs="Arial"/>
          <w:bCs/>
          <w:i/>
        </w:rPr>
        <w:t xml:space="preserve"> mismo punto de venta</w:t>
      </w:r>
      <w:r w:rsidRPr="00F56233">
        <w:rPr>
          <w:rFonts w:ascii="Arial" w:hAnsi="Arial" w:cs="Arial"/>
          <w:bCs/>
        </w:rPr>
        <w:t>”.</w:t>
      </w:r>
      <w:r w:rsidRPr="00F56233" w:rsidDel="00D65B87">
        <w:rPr>
          <w:rFonts w:ascii="Arial" w:hAnsi="Arial" w:cs="Arial"/>
          <w:bCs/>
        </w:rPr>
        <w:t xml:space="preserve"> </w:t>
      </w:r>
    </w:p>
    <w:p w14:paraId="10E9CC28" w14:textId="77777777" w:rsidR="006544D6" w:rsidRPr="00BF428C" w:rsidRDefault="006544D6" w:rsidP="006544D6">
      <w:pPr>
        <w:spacing w:line="207" w:lineRule="exact"/>
        <w:textAlignment w:val="baseline"/>
        <w:rPr>
          <w:rFonts w:ascii="Arial" w:hAnsi="Arial" w:cs="Arial"/>
          <w:sz w:val="20"/>
          <w:szCs w:val="20"/>
          <w:lang w:val="pt-BR"/>
        </w:rPr>
      </w:pPr>
    </w:p>
    <w:p w14:paraId="7449CF6E" w14:textId="77777777" w:rsidR="006544D6" w:rsidRPr="00BF428C" w:rsidRDefault="006544D6" w:rsidP="006544D6">
      <w:pPr>
        <w:spacing w:before="128" w:line="240" w:lineRule="auto"/>
        <w:jc w:val="both"/>
        <w:textAlignment w:val="baseline"/>
        <w:rPr>
          <w:rFonts w:ascii="Arial" w:eastAsia="Arial" w:hAnsi="Arial"/>
          <w:b/>
          <w:color w:val="000000"/>
          <w:lang w:val="pt-BR"/>
        </w:rPr>
      </w:pPr>
      <w:r>
        <w:rPr>
          <w:rFonts w:ascii="Arial" w:eastAsia="Arial" w:hAnsi="Arial"/>
          <w:b/>
          <w:color w:val="000000"/>
          <w:lang w:val="pt-BR"/>
        </w:rPr>
        <w:t>Acerca de</w:t>
      </w:r>
      <w:r w:rsidRPr="00BF428C">
        <w:rPr>
          <w:rFonts w:ascii="Arial" w:eastAsia="Arial" w:hAnsi="Arial"/>
          <w:b/>
          <w:color w:val="000000"/>
          <w:lang w:val="pt-BR"/>
        </w:rPr>
        <w:t xml:space="preserve"> </w:t>
      </w:r>
      <w:r>
        <w:rPr>
          <w:rFonts w:ascii="Arial" w:eastAsia="Arial" w:hAnsi="Arial"/>
          <w:b/>
          <w:color w:val="000000"/>
          <w:lang w:val="pt-BR"/>
        </w:rPr>
        <w:t>DAPSA</w:t>
      </w:r>
    </w:p>
    <w:p w14:paraId="3C0BC0D6" w14:textId="227690AF" w:rsidR="00861E8F" w:rsidRDefault="00861E8F" w:rsidP="00861E8F">
      <w:pPr>
        <w:pStyle w:val="NormalWeb"/>
        <w:jc w:val="both"/>
        <w:rPr>
          <w:rFonts w:ascii="Arial" w:hAnsi="Arial" w:cs="Arial"/>
          <w:szCs w:val="20"/>
          <w:lang w:val="es-MX"/>
        </w:rPr>
      </w:pPr>
      <w:r w:rsidRPr="00861E8F">
        <w:rPr>
          <w:rFonts w:ascii="Arial" w:hAnsi="Arial" w:cs="Arial"/>
          <w:szCs w:val="20"/>
          <w:lang w:val="es-MX"/>
        </w:rPr>
        <w:t>Dapsa, Destilería Argentina de Petróleo S.A., perteneciente al holding argentino Sociedad Comercial del Plata, es una sólida y eficiente empresa con casi 100 años de actividad orientada a la producción de especialidades y servicios en el negocio petrolero. Las instalaciones de Dapsa se ubican en Dock Sud, Provincia de Buenos Aires en un predio de 35 hectáreas con capacidad de almacenaje de más de 145.000 M3. Dapsa cuenta con una capacidad de Despacho de 140 camiones diarios y 276 empleados. Dapsa y su gente están comprometidos con Políticas de Seguridad y Medio Ambiente cumpliendo y</w:t>
      </w:r>
      <w:r>
        <w:rPr>
          <w:rFonts w:ascii="Arial" w:hAnsi="Arial" w:cs="Arial"/>
          <w:szCs w:val="20"/>
          <w:lang w:val="es-MX"/>
        </w:rPr>
        <w:t xml:space="preserve"> </w:t>
      </w:r>
      <w:r w:rsidRPr="00861E8F">
        <w:rPr>
          <w:rFonts w:ascii="Arial" w:hAnsi="Arial" w:cs="Arial"/>
          <w:szCs w:val="20"/>
          <w:lang w:val="es-MX"/>
        </w:rPr>
        <w:t>haciendo cumplir las normativas y leyes, trabajando preventivamente y con una mirada a largo plazo.</w:t>
      </w:r>
    </w:p>
    <w:p w14:paraId="39996151" w14:textId="4C372ECD" w:rsidR="00861E8F" w:rsidRDefault="00861E8F" w:rsidP="00861E8F">
      <w:pPr>
        <w:pStyle w:val="NormalWeb"/>
        <w:jc w:val="both"/>
        <w:rPr>
          <w:rFonts w:ascii="Arial" w:hAnsi="Arial" w:cs="Arial"/>
          <w:szCs w:val="20"/>
          <w:lang w:val="es-MX"/>
        </w:rPr>
      </w:pPr>
    </w:p>
    <w:p w14:paraId="57DC36FE" w14:textId="193CF325" w:rsidR="00861E8F" w:rsidRPr="008441CA" w:rsidRDefault="00861E8F" w:rsidP="00861E8F">
      <w:pPr>
        <w:spacing w:before="7" w:line="247" w:lineRule="exact"/>
        <w:textAlignment w:val="baseline"/>
        <w:rPr>
          <w:rFonts w:ascii="Arial" w:eastAsia="Arial" w:hAnsi="Arial"/>
          <w:b/>
          <w:color w:val="000000"/>
          <w:lang w:val="es-ES"/>
        </w:rPr>
      </w:pPr>
      <w:r w:rsidRPr="008441CA">
        <w:rPr>
          <w:rFonts w:ascii="Arial" w:eastAsia="Arial" w:hAnsi="Arial"/>
          <w:b/>
          <w:color w:val="000000"/>
          <w:lang w:val="es-ES"/>
        </w:rPr>
        <w:t xml:space="preserve">Contactos de </w:t>
      </w:r>
      <w:r>
        <w:rPr>
          <w:rFonts w:ascii="Arial" w:eastAsia="Arial" w:hAnsi="Arial"/>
          <w:b/>
          <w:color w:val="000000"/>
          <w:lang w:val="es-ES"/>
        </w:rPr>
        <w:t>DAPSA</w:t>
      </w:r>
      <w:r w:rsidRPr="008441CA">
        <w:rPr>
          <w:rFonts w:ascii="Arial" w:eastAsia="Arial" w:hAnsi="Arial"/>
          <w:b/>
          <w:color w:val="000000"/>
          <w:lang w:val="es-ES"/>
        </w:rPr>
        <w:t xml:space="preserve">: </w:t>
      </w:r>
    </w:p>
    <w:p w14:paraId="7C0B4829" w14:textId="19322A19" w:rsidR="00861E8F" w:rsidRPr="00861E8F" w:rsidRDefault="00861E8F" w:rsidP="00861E8F">
      <w:pPr>
        <w:pStyle w:val="NormalWeb"/>
        <w:jc w:val="both"/>
        <w:rPr>
          <w:rFonts w:ascii="Arial" w:hAnsi="Arial" w:cs="Arial"/>
          <w:lang w:val="es-MX"/>
        </w:rPr>
      </w:pPr>
      <w:r w:rsidRPr="00861E8F">
        <w:rPr>
          <w:rFonts w:ascii="Arial" w:eastAsia="Arial" w:hAnsi="Arial" w:cs="Arial"/>
          <w:lang w:val="es-MX"/>
        </w:rPr>
        <w:t>Marcelo Miani |</w:t>
      </w:r>
      <w:r w:rsidRPr="00861E8F">
        <w:rPr>
          <w:rFonts w:ascii="Arial" w:eastAsia="Times New Roman" w:hAnsi="Arial" w:cs="Arial"/>
          <w:color w:val="000000"/>
          <w:lang w:val="es-MX"/>
        </w:rPr>
        <w:t xml:space="preserve"> </w:t>
      </w:r>
      <w:hyperlink r:id="rId6" w:history="1">
        <w:r w:rsidRPr="00861E8F">
          <w:rPr>
            <w:rStyle w:val="Hipervnculo"/>
            <w:rFonts w:ascii="Arial" w:eastAsia="Times New Roman" w:hAnsi="Arial" w:cs="Arial"/>
            <w:lang w:val="es-MX"/>
          </w:rPr>
          <w:t>mmiani@daps.com</w:t>
        </w:r>
      </w:hyperlink>
    </w:p>
    <w:p w14:paraId="0D96A272" w14:textId="77777777" w:rsidR="006544D6" w:rsidRPr="00861E8F" w:rsidRDefault="006544D6" w:rsidP="006544D6">
      <w:pPr>
        <w:spacing w:before="128" w:line="206" w:lineRule="exact"/>
        <w:jc w:val="both"/>
        <w:textAlignment w:val="baseline"/>
        <w:rPr>
          <w:rFonts w:ascii="Arial" w:hAnsi="Arial" w:cs="Arial"/>
          <w:szCs w:val="20"/>
          <w:lang w:val="es-MX"/>
        </w:rPr>
      </w:pPr>
    </w:p>
    <w:p w14:paraId="66E2A55C" w14:textId="77777777" w:rsidR="006544D6" w:rsidRDefault="006544D6" w:rsidP="006544D6">
      <w:pPr>
        <w:spacing w:before="128" w:line="206" w:lineRule="exact"/>
        <w:jc w:val="both"/>
        <w:textAlignment w:val="baseline"/>
        <w:rPr>
          <w:rFonts w:ascii="Arial" w:eastAsia="Arial" w:hAnsi="Arial"/>
          <w:b/>
          <w:color w:val="000000"/>
          <w:lang w:val="pt-BR"/>
        </w:rPr>
      </w:pPr>
      <w:r>
        <w:rPr>
          <w:rFonts w:ascii="Arial" w:eastAsia="Arial" w:hAnsi="Arial"/>
          <w:b/>
          <w:color w:val="000000"/>
          <w:lang w:val="pt-BR"/>
        </w:rPr>
        <w:lastRenderedPageBreak/>
        <w:t xml:space="preserve">Acerca de </w:t>
      </w:r>
      <w:r w:rsidRPr="00BF428C">
        <w:rPr>
          <w:rFonts w:ascii="Arial" w:eastAsia="Arial" w:hAnsi="Arial"/>
          <w:b/>
          <w:color w:val="000000"/>
          <w:lang w:val="pt-BR"/>
        </w:rPr>
        <w:t xml:space="preserve">Total </w:t>
      </w:r>
      <w:r>
        <w:rPr>
          <w:rFonts w:ascii="Arial" w:eastAsia="Arial" w:hAnsi="Arial"/>
          <w:b/>
          <w:color w:val="000000"/>
          <w:lang w:val="pt-BR"/>
        </w:rPr>
        <w:t>Especialidades Argentina</w:t>
      </w:r>
    </w:p>
    <w:p w14:paraId="23386C49" w14:textId="3CE85E8C" w:rsidR="006544D6" w:rsidRDefault="006544D6" w:rsidP="006544D6">
      <w:pPr>
        <w:spacing w:before="7" w:line="247" w:lineRule="exact"/>
        <w:jc w:val="both"/>
        <w:textAlignment w:val="baseline"/>
        <w:rPr>
          <w:rFonts w:ascii="Arial" w:hAnsi="Arial" w:cs="Arial"/>
          <w:szCs w:val="20"/>
          <w:lang w:val="es-MX"/>
        </w:rPr>
      </w:pPr>
      <w:r w:rsidRPr="00BA3C7E">
        <w:rPr>
          <w:rFonts w:ascii="Arial" w:hAnsi="Arial" w:cs="Arial"/>
          <w:szCs w:val="20"/>
          <w:lang w:val="es-MX"/>
        </w:rPr>
        <w:t xml:space="preserve">Total está presente en el mercado de lubricantes en Argentina a través de sus marcas TOTAL y ELF, ofreciendo una amplia gama de productos diseñados para cubrir las necesidades de los segmentos auto, moto, agro e industria. </w:t>
      </w:r>
    </w:p>
    <w:p w14:paraId="13841FF5" w14:textId="77777777" w:rsidR="005E5EF8" w:rsidRDefault="005E5EF8" w:rsidP="006544D6">
      <w:pPr>
        <w:spacing w:before="7" w:line="247" w:lineRule="exact"/>
        <w:jc w:val="both"/>
        <w:textAlignment w:val="baseline"/>
        <w:rPr>
          <w:rFonts w:ascii="Arial" w:hAnsi="Arial" w:cs="Arial"/>
          <w:szCs w:val="20"/>
          <w:lang w:val="es-MX"/>
        </w:rPr>
      </w:pPr>
    </w:p>
    <w:p w14:paraId="469EE0BF" w14:textId="77777777" w:rsidR="006544D6" w:rsidRPr="00F56233" w:rsidRDefault="006544D6" w:rsidP="006544D6">
      <w:pPr>
        <w:spacing w:before="128" w:line="206" w:lineRule="exact"/>
        <w:jc w:val="both"/>
        <w:textAlignment w:val="baseline"/>
        <w:rPr>
          <w:rFonts w:ascii="Arial" w:eastAsia="Arial" w:hAnsi="Arial"/>
          <w:b/>
          <w:color w:val="000000"/>
        </w:rPr>
      </w:pPr>
      <w:r w:rsidRPr="00F56233">
        <w:rPr>
          <w:rFonts w:ascii="Arial" w:eastAsia="Arial" w:hAnsi="Arial"/>
          <w:b/>
          <w:bCs/>
          <w:color w:val="000000"/>
        </w:rPr>
        <w:t>Acerca de Total Lubricantes</w:t>
      </w:r>
    </w:p>
    <w:p w14:paraId="5820CA04" w14:textId="77777777" w:rsidR="006544D6" w:rsidRPr="00F56233" w:rsidRDefault="006544D6" w:rsidP="006544D6">
      <w:pPr>
        <w:spacing w:after="100" w:afterAutospacing="1" w:line="240" w:lineRule="auto"/>
        <w:jc w:val="both"/>
        <w:rPr>
          <w:rFonts w:ascii="Arial" w:hAnsi="Arial"/>
          <w:color w:val="000000"/>
        </w:rPr>
      </w:pPr>
      <w:r w:rsidRPr="00F56233">
        <w:rPr>
          <w:rFonts w:ascii="Arial" w:hAnsi="Arial"/>
          <w:color w:val="000000"/>
        </w:rPr>
        <w:t>Total Lubricantes es el fabricante y comercializador líder en el mundo de lubricantes. Tiene 42 plantas de producción en todo el mundo y más de 5.800 empleados en 150 países. Total Lubricantes ofrece productos y servicios innovadores, eficientes y ambientalmente responsables desarrollados por más de 130 investigadores en sus centros de I + D. Total Lubricantes es un socio de elección para los mercados automotriz, industrial y marino.</w:t>
      </w:r>
    </w:p>
    <w:p w14:paraId="7CF2D1FE" w14:textId="77777777" w:rsidR="006544D6" w:rsidRPr="00F56233" w:rsidRDefault="00710EA8" w:rsidP="006544D6">
      <w:pPr>
        <w:spacing w:after="0" w:line="240" w:lineRule="auto"/>
        <w:jc w:val="both"/>
        <w:rPr>
          <w:i/>
          <w:iCs/>
          <w:color w:val="666666"/>
          <w:sz w:val="18"/>
        </w:rPr>
      </w:pPr>
      <w:hyperlink r:id="rId7" w:history="1">
        <w:r w:rsidR="006544D6" w:rsidRPr="00F56233">
          <w:rPr>
            <w:rStyle w:val="Hipervnculo"/>
            <w:sz w:val="20"/>
          </w:rPr>
          <w:t>lubricants.total.com</w:t>
        </w:r>
      </w:hyperlink>
      <w:r w:rsidR="006544D6" w:rsidRPr="00F56233">
        <w:rPr>
          <w:i/>
          <w:iCs/>
          <w:color w:val="666666"/>
          <w:sz w:val="18"/>
        </w:rPr>
        <w:t xml:space="preserve"> </w:t>
      </w:r>
    </w:p>
    <w:p w14:paraId="0A6EF59D" w14:textId="77777777" w:rsidR="006544D6" w:rsidRPr="00F56233" w:rsidRDefault="00710EA8" w:rsidP="006544D6">
      <w:pPr>
        <w:spacing w:after="0" w:line="240" w:lineRule="auto"/>
        <w:jc w:val="both"/>
        <w:rPr>
          <w:iCs/>
          <w:color w:val="666666"/>
          <w:sz w:val="18"/>
        </w:rPr>
      </w:pPr>
      <w:hyperlink r:id="rId8" w:history="1">
        <w:r w:rsidR="006544D6" w:rsidRPr="00F56233">
          <w:rPr>
            <w:rStyle w:val="Hipervnculo"/>
            <w:sz w:val="18"/>
          </w:rPr>
          <w:t>elf.com</w:t>
        </w:r>
      </w:hyperlink>
    </w:p>
    <w:p w14:paraId="5DD130B8" w14:textId="77777777" w:rsidR="006544D6" w:rsidRPr="00F56233" w:rsidRDefault="006544D6" w:rsidP="006544D6">
      <w:pPr>
        <w:spacing w:before="128" w:line="206" w:lineRule="exact"/>
        <w:jc w:val="both"/>
        <w:textAlignment w:val="baseline"/>
        <w:rPr>
          <w:rFonts w:ascii="Arial" w:eastAsia="Arial" w:hAnsi="Arial" w:cs="Arial"/>
          <w:b/>
          <w:color w:val="000000"/>
        </w:rPr>
      </w:pPr>
    </w:p>
    <w:p w14:paraId="3D46F4E3" w14:textId="5343A990" w:rsidR="006544D6" w:rsidRPr="00F56233" w:rsidRDefault="006544D6" w:rsidP="006544D6">
      <w:pPr>
        <w:spacing w:before="128" w:line="206" w:lineRule="exact"/>
        <w:jc w:val="both"/>
        <w:textAlignment w:val="baseline"/>
        <w:rPr>
          <w:rFonts w:ascii="Arial" w:eastAsia="Arial" w:hAnsi="Arial" w:cs="Arial"/>
          <w:b/>
          <w:color w:val="000000"/>
        </w:rPr>
      </w:pPr>
      <w:r w:rsidRPr="00F56233">
        <w:rPr>
          <w:rFonts w:ascii="Arial" w:eastAsia="Arial" w:hAnsi="Arial" w:cs="Arial"/>
          <w:b/>
          <w:color w:val="000000"/>
        </w:rPr>
        <w:t>Acerca de la divisi</w:t>
      </w:r>
      <w:r>
        <w:rPr>
          <w:rFonts w:ascii="Arial" w:eastAsia="Arial" w:hAnsi="Arial" w:cs="Arial"/>
          <w:b/>
          <w:color w:val="000000"/>
        </w:rPr>
        <w:t>ó</w:t>
      </w:r>
      <w:r w:rsidRPr="00F56233">
        <w:rPr>
          <w:rFonts w:ascii="Arial" w:eastAsia="Arial" w:hAnsi="Arial" w:cs="Arial"/>
          <w:b/>
          <w:color w:val="000000"/>
        </w:rPr>
        <w:t xml:space="preserve">n de Marketing &amp; Servicios de Total </w:t>
      </w:r>
    </w:p>
    <w:p w14:paraId="662D6D79" w14:textId="77777777" w:rsidR="006544D6" w:rsidRPr="00F56233" w:rsidRDefault="006544D6" w:rsidP="006544D6">
      <w:pPr>
        <w:spacing w:before="7" w:line="247" w:lineRule="exact"/>
        <w:jc w:val="both"/>
        <w:textAlignment w:val="baseline"/>
        <w:rPr>
          <w:rFonts w:ascii="Arial" w:eastAsia="Times New Roman" w:hAnsi="Arial" w:cs="Arial"/>
          <w:lang w:eastAsia="fr-FR"/>
        </w:rPr>
      </w:pPr>
      <w:r w:rsidRPr="00F56233">
        <w:rPr>
          <w:rFonts w:ascii="Arial" w:eastAsia="Times New Roman" w:hAnsi="Arial" w:cs="Arial"/>
          <w:lang w:eastAsia="fr-FR"/>
        </w:rPr>
        <w:t>La división Marketing &amp; Services de Total desarrolla y distribuye productos derivados principalmente del petróleo crudo junto con todos los servicios asociados. Sus 32.000 empleados están presentes en 107 países y sus ofertas de productos y servicios se venden en 150 países. Total Marketing &amp; Services presta diariamente servicio a más de 8 millones de clientes en su red de más de 15.600 estaciones de servicio en 71 países. Como cuarto distribuidor mundial de lubricantes y distribuidor líder de productos derivados del petróleo en África, Total Marketing &amp; Services tiene plantas de producción en todo el mundo, donde fabrica los lubricantes, betún, aditivos, combustibles especiales y fluidos que sustentan su crecimiento.</w:t>
      </w:r>
    </w:p>
    <w:p w14:paraId="77CD9FF5" w14:textId="77777777" w:rsidR="006544D6" w:rsidRPr="00F56233" w:rsidRDefault="006544D6" w:rsidP="006544D6">
      <w:pPr>
        <w:spacing w:before="7" w:line="247" w:lineRule="exact"/>
        <w:jc w:val="both"/>
        <w:textAlignment w:val="baseline"/>
        <w:rPr>
          <w:rFonts w:ascii="Arial" w:eastAsia="Times New Roman" w:hAnsi="Arial" w:cs="Arial"/>
          <w:lang w:eastAsia="fr-FR"/>
        </w:rPr>
      </w:pPr>
    </w:p>
    <w:p w14:paraId="267E7483" w14:textId="77777777" w:rsidR="006544D6" w:rsidRPr="00F56233" w:rsidRDefault="006544D6" w:rsidP="006544D6">
      <w:pPr>
        <w:spacing w:before="7" w:line="247" w:lineRule="exact"/>
        <w:jc w:val="both"/>
        <w:textAlignment w:val="baseline"/>
        <w:rPr>
          <w:rFonts w:ascii="Arial" w:eastAsia="Arial" w:hAnsi="Arial"/>
          <w:b/>
          <w:color w:val="000000"/>
        </w:rPr>
      </w:pPr>
      <w:r w:rsidRPr="00F56233">
        <w:rPr>
          <w:rFonts w:ascii="Arial" w:eastAsia="Arial" w:hAnsi="Arial"/>
          <w:b/>
          <w:color w:val="000000"/>
        </w:rPr>
        <w:t>Acerca de Total</w:t>
      </w:r>
    </w:p>
    <w:p w14:paraId="5C489ED4" w14:textId="77777777" w:rsidR="006544D6" w:rsidRPr="00F56233" w:rsidRDefault="006544D6" w:rsidP="006544D6">
      <w:pPr>
        <w:spacing w:before="7" w:after="0" w:line="247" w:lineRule="exact"/>
        <w:jc w:val="both"/>
        <w:textAlignment w:val="baseline"/>
        <w:rPr>
          <w:rFonts w:ascii="Arial" w:eastAsia="Arial" w:hAnsi="Arial"/>
          <w:color w:val="000000"/>
        </w:rPr>
      </w:pPr>
      <w:r w:rsidRPr="00F56233">
        <w:rPr>
          <w:rFonts w:ascii="Arial" w:eastAsia="Arial" w:hAnsi="Arial"/>
          <w:color w:val="000000"/>
        </w:rPr>
        <w:t>Total es un importante grupo energético, que produce y comercializa combustibles, gas natural y electricidad. Nuestros 100.000 empleados están comprometidos con una mejor energía que sea más segura, más asequible, más limpia y accesible para tantas personas como sea posible. Activo en más de 130 países, nuestra ambición es convertirnos en el principal responsable de la energía.</w:t>
      </w:r>
    </w:p>
    <w:p w14:paraId="690211AA" w14:textId="77777777" w:rsidR="006544D6" w:rsidRPr="00F56233" w:rsidRDefault="006544D6" w:rsidP="006544D6">
      <w:pPr>
        <w:spacing w:before="7" w:line="247" w:lineRule="exact"/>
        <w:jc w:val="both"/>
        <w:textAlignment w:val="baseline"/>
        <w:rPr>
          <w:rFonts w:ascii="Arial" w:eastAsia="Arial" w:hAnsi="Arial"/>
          <w:color w:val="000000"/>
        </w:rPr>
      </w:pPr>
    </w:p>
    <w:p w14:paraId="556DC720" w14:textId="40CA1316" w:rsidR="006544D6" w:rsidRPr="009047CC" w:rsidRDefault="006544D6" w:rsidP="009047CC">
      <w:pPr>
        <w:spacing w:before="7" w:line="247" w:lineRule="exact"/>
        <w:ind w:left="72"/>
        <w:jc w:val="center"/>
        <w:textAlignment w:val="baseline"/>
        <w:rPr>
          <w:rFonts w:ascii="Arial" w:eastAsia="Arial" w:hAnsi="Arial"/>
          <w:color w:val="000000"/>
        </w:rPr>
      </w:pPr>
      <w:r w:rsidRPr="005E5EF8">
        <w:rPr>
          <w:rFonts w:ascii="Arial" w:eastAsia="Arial" w:hAnsi="Arial"/>
          <w:color w:val="000000"/>
        </w:rPr>
        <w:t>* * * * *</w:t>
      </w:r>
    </w:p>
    <w:p w14:paraId="6F7CFE8C" w14:textId="77777777" w:rsidR="006544D6" w:rsidRPr="008441CA" w:rsidRDefault="006544D6" w:rsidP="006544D6">
      <w:pPr>
        <w:spacing w:before="7" w:line="247" w:lineRule="exact"/>
        <w:textAlignment w:val="baseline"/>
        <w:rPr>
          <w:rFonts w:ascii="Arial" w:eastAsia="Arial" w:hAnsi="Arial"/>
          <w:b/>
          <w:color w:val="000000"/>
          <w:lang w:val="es-ES"/>
        </w:rPr>
      </w:pPr>
      <w:r w:rsidRPr="008441CA">
        <w:rPr>
          <w:rFonts w:ascii="Arial" w:eastAsia="Arial" w:hAnsi="Arial"/>
          <w:b/>
          <w:color w:val="000000"/>
          <w:lang w:val="es-ES"/>
        </w:rPr>
        <w:t xml:space="preserve">Contactos de Total: </w:t>
      </w:r>
    </w:p>
    <w:p w14:paraId="293E3E97" w14:textId="6F9C9EE4" w:rsidR="006544D6" w:rsidRPr="00861E8F" w:rsidRDefault="006544D6" w:rsidP="006544D6">
      <w:pPr>
        <w:spacing w:after="0"/>
        <w:jc w:val="both"/>
        <w:rPr>
          <w:rFonts w:ascii="Arial" w:eastAsia="Arial" w:hAnsi="Arial" w:cs="Arial"/>
          <w:lang w:val="es-MX"/>
        </w:rPr>
      </w:pPr>
      <w:r w:rsidRPr="00861E8F">
        <w:rPr>
          <w:rFonts w:ascii="Arial" w:eastAsia="Arial" w:hAnsi="Arial" w:cs="Arial"/>
          <w:lang w:val="es-MX"/>
        </w:rPr>
        <w:t xml:space="preserve">Dolores Serrano | </w:t>
      </w:r>
      <w:hyperlink r:id="rId9" w:history="1">
        <w:r w:rsidR="00B83F44" w:rsidRPr="00861E8F">
          <w:rPr>
            <w:rStyle w:val="Hipervnculo"/>
            <w:rFonts w:ascii="Arial" w:hAnsi="Arial" w:cs="Arial"/>
          </w:rPr>
          <w:t>dolores.serrano@total.com</w:t>
        </w:r>
      </w:hyperlink>
      <w:r w:rsidR="00B83F44" w:rsidRPr="00861E8F">
        <w:rPr>
          <w:rFonts w:ascii="Arial" w:hAnsi="Arial" w:cs="Arial"/>
        </w:rPr>
        <w:t xml:space="preserve"> </w:t>
      </w:r>
    </w:p>
    <w:p w14:paraId="53F3F8E7" w14:textId="70BD04A3" w:rsidR="006544D6" w:rsidRPr="00BA3C7E" w:rsidRDefault="006544D6" w:rsidP="006544D6">
      <w:pPr>
        <w:spacing w:after="0"/>
        <w:jc w:val="both"/>
        <w:rPr>
          <w:rFonts w:ascii="Arial" w:eastAsia="Arial" w:hAnsi="Arial" w:cs="Arial"/>
          <w:lang w:val="es-MX"/>
        </w:rPr>
      </w:pPr>
      <w:r w:rsidRPr="00BA3C7E">
        <w:rPr>
          <w:rFonts w:ascii="Arial" w:eastAsia="Arial" w:hAnsi="Arial" w:cs="Arial"/>
          <w:lang w:val="es-MX"/>
        </w:rPr>
        <w:t xml:space="preserve">Micaela Ravina | </w:t>
      </w:r>
      <w:hyperlink r:id="rId10" w:history="1">
        <w:r w:rsidR="00B83F44" w:rsidRPr="008672AC">
          <w:rPr>
            <w:rStyle w:val="Hipervnculo"/>
            <w:rFonts w:ascii="Arial" w:eastAsia="Arial" w:hAnsi="Arial" w:cs="Arial"/>
            <w:lang w:val="es-MX"/>
          </w:rPr>
          <w:t>micaela.ravina@total.com</w:t>
        </w:r>
      </w:hyperlink>
      <w:r w:rsidRPr="00BA3C7E">
        <w:rPr>
          <w:rFonts w:ascii="Arial" w:eastAsia="Arial" w:hAnsi="Arial" w:cs="Arial"/>
          <w:lang w:val="es-MX"/>
        </w:rPr>
        <w:t xml:space="preserve"> </w:t>
      </w:r>
    </w:p>
    <w:p w14:paraId="51A08BC9" w14:textId="77777777" w:rsidR="006544D6" w:rsidRPr="008441CA" w:rsidRDefault="006544D6" w:rsidP="006544D6">
      <w:pPr>
        <w:spacing w:before="131" w:after="0" w:line="206" w:lineRule="exact"/>
        <w:ind w:left="72" w:right="72"/>
        <w:jc w:val="both"/>
        <w:textAlignment w:val="baseline"/>
        <w:rPr>
          <w:rFonts w:ascii="Arial" w:eastAsia="Arial" w:hAnsi="Arial"/>
          <w:b/>
          <w:color w:val="000000"/>
          <w:lang w:val="es-MX"/>
        </w:rPr>
      </w:pPr>
    </w:p>
    <w:p w14:paraId="171F7E01" w14:textId="77777777" w:rsidR="006544D6" w:rsidRPr="005D0A88" w:rsidRDefault="006544D6" w:rsidP="006544D6">
      <w:pPr>
        <w:pStyle w:val="xmsonormal"/>
        <w:spacing w:line="276" w:lineRule="auto"/>
        <w:jc w:val="both"/>
        <w:rPr>
          <w:rFonts w:ascii="Arial" w:eastAsia="Arial" w:hAnsi="Arial" w:cs="Arial"/>
          <w:b/>
          <w:color w:val="000000"/>
          <w:lang w:val="es-ES" w:eastAsia="en-US"/>
        </w:rPr>
      </w:pPr>
      <w:r w:rsidRPr="005D0A88">
        <w:rPr>
          <w:rFonts w:ascii="Arial" w:eastAsia="Arial" w:hAnsi="Arial" w:cs="Arial"/>
          <w:b/>
          <w:color w:val="000000"/>
          <w:lang w:val="es-ES" w:eastAsia="en-US"/>
        </w:rPr>
        <w:t>Nota de advertencia</w:t>
      </w:r>
    </w:p>
    <w:p w14:paraId="2E31B9FE" w14:textId="77777777" w:rsidR="006544D6" w:rsidRPr="005D0A88" w:rsidRDefault="006544D6" w:rsidP="006544D6">
      <w:pPr>
        <w:spacing w:before="2" w:line="206" w:lineRule="exact"/>
        <w:ind w:right="72"/>
        <w:jc w:val="both"/>
        <w:textAlignment w:val="baseline"/>
        <w:rPr>
          <w:rFonts w:ascii="Arial" w:eastAsia="Arial" w:hAnsi="Arial" w:cs="Arial"/>
          <w:i/>
          <w:color w:val="000000"/>
          <w:lang w:val="es-ES"/>
        </w:rPr>
      </w:pPr>
      <w:r w:rsidRPr="005D0A88">
        <w:rPr>
          <w:rFonts w:ascii="Arial" w:eastAsia="Arial" w:hAnsi="Arial" w:cs="Arial"/>
          <w:i/>
          <w:color w:val="000000"/>
          <w:lang w:val="es-ES"/>
        </w:rPr>
        <w:lastRenderedPageBreak/>
        <w:t>Este comunicado de prensa, del cual no se pueden extraer consecuencias legales, es solo para fines informativos. Las entidades en las que TOTAL S.A. directa o indirectamente posee inversiones son entidades legales separadas. TOTAL S.A. no tiene responsabilidad por sus actos u omisiones. En este documento, los términos "Total" y "Grupo Total" se usan a veces por conveniencia cuando se hacen referencias generales a TOTAL S.A. y / o sus subsidiarias. Del mismo modo, las palabras "nosotros", "nosotros" y "nuestro" también se pueden usar para referirse a las subsidiarias en general o a aquellos que trabajan para ellas.</w:t>
      </w:r>
    </w:p>
    <w:p w14:paraId="7E807707" w14:textId="44B8FFA5" w:rsidR="00746ACE" w:rsidRDefault="006544D6" w:rsidP="006544D6">
      <w:pPr>
        <w:spacing w:after="200"/>
      </w:pPr>
      <w:r w:rsidRPr="005D0A88">
        <w:rPr>
          <w:rFonts w:ascii="Arial" w:eastAsia="Arial" w:hAnsi="Arial" w:cs="Arial"/>
          <w:i/>
          <w:color w:val="000000"/>
          <w:lang w:val="es-ES"/>
        </w:rPr>
        <w:t>Este documento puede contener información y declaraciones prospectivas que se basan en una serie de datos económicos y supuestos realizados en un entorno económico, competitivo y regulatorio determinado. Pueden resultar inexactos en el futuro y están sujetos a una serie de factores de riesgo. Ni TOTAL S.A. ni ninguna de sus subsidiarias asume ninguna obligación de actualizar públicamente ninguna información o declaración prospectiva, objetivos o tendencias contenidas en este documento, ya sea como resultado de nueva información, eventos futuros u otros.</w:t>
      </w:r>
    </w:p>
    <w:sectPr w:rsidR="00746ACE" w:rsidSect="006544D6">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16BE1" w14:textId="77777777" w:rsidR="00D57CF8" w:rsidRDefault="00D57CF8" w:rsidP="006544D6">
      <w:pPr>
        <w:spacing w:after="0" w:line="240" w:lineRule="auto"/>
      </w:pPr>
      <w:r>
        <w:separator/>
      </w:r>
    </w:p>
  </w:endnote>
  <w:endnote w:type="continuationSeparator" w:id="0">
    <w:p w14:paraId="171BF605" w14:textId="77777777" w:rsidR="00D57CF8" w:rsidRDefault="00D57CF8" w:rsidP="00654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Std Extended">
    <w:panose1 w:val="020B0807040502030204"/>
    <w:charset w:val="00"/>
    <w:family w:val="swiss"/>
    <w:notTrueType/>
    <w:pitch w:val="variable"/>
    <w:sig w:usb0="800000AF" w:usb1="4000204A"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EF433" w14:textId="55363869" w:rsidR="006544D6" w:rsidRPr="00AA5DF5" w:rsidRDefault="009047CC" w:rsidP="006544D6">
    <w:pPr>
      <w:spacing w:after="0"/>
      <w:rPr>
        <w:rFonts w:ascii="Calibri" w:hAnsi="Calibri" w:cs="Calibri"/>
        <w:color w:val="000000"/>
        <w:sz w:val="20"/>
        <w:lang w:val="en-US"/>
      </w:rPr>
    </w:pPr>
    <w:r>
      <w:rPr>
        <w:rFonts w:ascii="Calibri" w:hAnsi="Calibri" w:cs="Calibri"/>
        <w:noProof/>
        <w:color w:val="000000"/>
        <w:sz w:val="20"/>
        <w:lang w:val="en-US"/>
      </w:rPr>
      <mc:AlternateContent>
        <mc:Choice Requires="wps">
          <w:drawing>
            <wp:anchor distT="0" distB="0" distL="114300" distR="114300" simplePos="0" relativeHeight="251660288" behindDoc="0" locked="0" layoutInCell="0" allowOverlap="1" wp14:anchorId="1C1EF734" wp14:editId="199A1E8C">
              <wp:simplePos x="0" y="0"/>
              <wp:positionH relativeFrom="page">
                <wp:posOffset>0</wp:posOffset>
              </wp:positionH>
              <wp:positionV relativeFrom="page">
                <wp:posOffset>10175240</wp:posOffset>
              </wp:positionV>
              <wp:extent cx="7560310" cy="325755"/>
              <wp:effectExtent l="0" t="0" r="0" b="0"/>
              <wp:wrapNone/>
              <wp:docPr id="1" name="MSIPCMe9384d5ebd410e3671a2c44f" descr="{&quot;HashCode&quot;:-23422096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2575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69FECB" w14:textId="77777777" w:rsidR="009047CC" w:rsidRPr="00972AA8" w:rsidRDefault="009047CC" w:rsidP="009047CC">
                          <w:pPr>
                            <w:spacing w:after="0"/>
                            <w:rPr>
                              <w:rFonts w:ascii="Calibri" w:hAnsi="Calibri" w:cs="Calibri"/>
                              <w:color w:val="000000"/>
                              <w:sz w:val="20"/>
                              <w:lang w:val="en-US"/>
                            </w:rPr>
                          </w:pPr>
                          <w:r w:rsidRPr="00972AA8">
                            <w:rPr>
                              <w:rFonts w:ascii="Calibri" w:hAnsi="Calibri" w:cs="Calibri"/>
                              <w:color w:val="000000"/>
                              <w:sz w:val="20"/>
                              <w:lang w:val="en-US"/>
                            </w:rPr>
                            <w:t>TOTAL Classification: Restricted Distribution</w:t>
                          </w:r>
                        </w:p>
                        <w:p w14:paraId="141C77D2" w14:textId="3960AEE1" w:rsidR="009047CC" w:rsidRPr="00972AA8" w:rsidRDefault="009047CC" w:rsidP="009047CC">
                          <w:pPr>
                            <w:spacing w:after="0"/>
                            <w:rPr>
                              <w:rFonts w:ascii="Calibri" w:hAnsi="Calibri" w:cs="Calibri"/>
                              <w:color w:val="000000"/>
                              <w:sz w:val="20"/>
                              <w:lang w:val="en-US"/>
                            </w:rPr>
                          </w:pPr>
                          <w:r w:rsidRPr="00972AA8">
                            <w:rPr>
                              <w:rFonts w:ascii="Calibri" w:hAnsi="Calibri" w:cs="Calibri"/>
                              <w:color w:val="000000"/>
                              <w:sz w:val="20"/>
                              <w:lang w:val="en-US"/>
                            </w:rPr>
                            <w:t>TOTAL - All rights reserved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C1EF734" id="_x0000_t202" coordsize="21600,21600" o:spt="202" path="m,l,21600r21600,l21600,xe">
              <v:stroke joinstyle="miter"/>
              <v:path gradientshapeok="t" o:connecttype="rect"/>
            </v:shapetype>
            <v:shape id="MSIPCMe9384d5ebd410e3671a2c44f" o:spid="_x0000_s1026" type="#_x0000_t202" alt="{&quot;HashCode&quot;:-234220969,&quot;Height&quot;:841.0,&quot;Width&quot;:595.0,&quot;Placement&quot;:&quot;Footer&quot;,&quot;Index&quot;:&quot;Primary&quot;,&quot;Section&quot;:1,&quot;Top&quot;:0.0,&quot;Left&quot;:0.0}" style="position:absolute;margin-left:0;margin-top:801.2pt;width:595.3pt;height:25.6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dYnsgIAAEcFAAAOAAAAZHJzL2Uyb0RvYy54bWysVN1v0zAQf0fif7D8wBMsH026NSydSqfC&#10;pG6r1KE9u47TREp8nu2uKYj/nXPidjB4QrzY9+X7+N2dL6+6tiHPQpsaZE6js5ASITkUtdzm9OvD&#10;4sMFJcYyWbAGpMjpQRh6NX375nKvMhFDBU0hNEEn0mR7ldPKWpUFgeGVaJk5AyUkKkvQLbPI6m1Q&#10;aLZH720TxGE4DvagC6WBC2NQej0o6bT3X5aC2/uyNMKSJqeYm+1P3Z8bdwbTS5ZtNVNVzX0a7B+y&#10;aFktMejJ1TWzjOx0/YertuYaDJT2jEMbQFnWXPQ1YDVR+KqadcWU6GtBcIw6wWT+n1t+97zSpC6w&#10;d5RI1mKLbtc3q/mtmIwukiIVmyKJQjEan0cs5klSUlIIwxHB7++edmA/fmGmmkMhBi77EI+SOA4n&#10;48l7rxf1trJee5HghHjFY13YysvTSXqSrxrGRSvk8c1gsgCwQg+0d3AjC9F5B8O10nXL9OE3qzWO&#10;AM6mt4v82wdQXhKeAi9FeYyJwh9uNPbKZIjQWiFGtvsEnYPJyw0KXce7Urfuxl4S1OOQHU6DJTpL&#10;OArP03E4ilDFUTeK0/M0dW6Cl9dKG/tZQEsckVONWffzxJ6Xxg6mRxMXTMKibhqUs6yRZJ/T8SgN&#10;+wcnDTpvJMZwNQy5Osp2m84XsIHigHVpGJbCKL6oMfiSGbtiGrcA88XNtvd4lA1gEPAUJRXob3+T&#10;O3scTtRSssetyql52jEtKGluJI5tnCZh6Paw55DQPTGJkgSZzVEqd+0ccGNxJjGtnnS2tjmSpYb2&#10;ETd/5sKhikmOQXO6OZJzixwq8OfgYjbradw4xexSrhV3rh14DtOH7pFp5YG32LI7OC4ey17hP9gO&#10;HZjtLJR13xyH7ACnBxy3tW+v/1ncd/Ar31u9/H/TnwAAAP//AwBQSwMEFAAGAAgAAAAhAOnYfF/f&#10;AAAACwEAAA8AAABkcnMvZG93bnJldi54bWxMj8FOwzAQRO9I/IO1SNyonQKBhjhVValIcEAQ+gFu&#10;vCQp9jqynTb8Pc4Jjjszmn1Tridr2Al96B1JyBYCGFLjdE+thP3n7uYRWIiKtDKOUMIPBlhXlxel&#10;KrQ70wee6tiyVEKhUBK6GIeC89B0aFVYuAEpeV/OWxXT6VuuvTqncmv4UoicW9VT+tCpAbcdNt/1&#10;aCVscMzCi9kdn/t9/f56fIteb1dSXl9NmydgEaf4F4YZP6FDlZgObiQdmJGQhsSk5mJ5B2z2s5XI&#10;gR1m7f72AXhV8v8bql8AAAD//wMAUEsBAi0AFAAGAAgAAAAhALaDOJL+AAAA4QEAABMAAAAAAAAA&#10;AAAAAAAAAAAAAFtDb250ZW50X1R5cGVzXS54bWxQSwECLQAUAAYACAAAACEAOP0h/9YAAACUAQAA&#10;CwAAAAAAAAAAAAAAAAAvAQAAX3JlbHMvLnJlbHNQSwECLQAUAAYACAAAACEAyOXWJ7ICAABHBQAA&#10;DgAAAAAAAAAAAAAAAAAuAgAAZHJzL2Uyb0RvYy54bWxQSwECLQAUAAYACAAAACEA6dh8X98AAAAL&#10;AQAADwAAAAAAAAAAAAAAAAAMBQAAZHJzL2Rvd25yZXYueG1sUEsFBgAAAAAEAAQA8wAAABgGAAAA&#10;AA==&#10;" o:allowincell="f" filled="f" stroked="f" strokeweight=".5pt">
              <v:textbox inset="20pt,0,,0">
                <w:txbxContent>
                  <w:p w14:paraId="6C69FECB" w14:textId="77777777" w:rsidR="009047CC" w:rsidRPr="00972AA8" w:rsidRDefault="009047CC" w:rsidP="009047CC">
                    <w:pPr>
                      <w:spacing w:after="0"/>
                      <w:rPr>
                        <w:rFonts w:ascii="Calibri" w:hAnsi="Calibri" w:cs="Calibri"/>
                        <w:color w:val="000000"/>
                        <w:sz w:val="20"/>
                        <w:lang w:val="en-US"/>
                      </w:rPr>
                    </w:pPr>
                    <w:r w:rsidRPr="00972AA8">
                      <w:rPr>
                        <w:rFonts w:ascii="Calibri" w:hAnsi="Calibri" w:cs="Calibri"/>
                        <w:color w:val="000000"/>
                        <w:sz w:val="20"/>
                        <w:lang w:val="en-US"/>
                      </w:rPr>
                      <w:t>TOTAL Classification: Restricted Distribution</w:t>
                    </w:r>
                  </w:p>
                  <w:p w14:paraId="141C77D2" w14:textId="3960AEE1" w:rsidR="009047CC" w:rsidRPr="00972AA8" w:rsidRDefault="009047CC" w:rsidP="009047CC">
                    <w:pPr>
                      <w:spacing w:after="0"/>
                      <w:rPr>
                        <w:rFonts w:ascii="Calibri" w:hAnsi="Calibri" w:cs="Calibri"/>
                        <w:color w:val="000000"/>
                        <w:sz w:val="20"/>
                        <w:lang w:val="en-US"/>
                      </w:rPr>
                    </w:pPr>
                    <w:r w:rsidRPr="00972AA8">
                      <w:rPr>
                        <w:rFonts w:ascii="Calibri" w:hAnsi="Calibri" w:cs="Calibri"/>
                        <w:color w:val="000000"/>
                        <w:sz w:val="20"/>
                        <w:lang w:val="en-US"/>
                      </w:rPr>
                      <w:t>TOTAL - All rights reserved</w:t>
                    </w:r>
                  </w:p>
                </w:txbxContent>
              </v:textbox>
              <w10:wrap anchorx="page" anchory="page"/>
            </v:shape>
          </w:pict>
        </mc:Fallback>
      </mc:AlternateContent>
    </w:r>
    <w:r w:rsidR="006544D6" w:rsidRPr="00AA5DF5">
      <w:rPr>
        <w:rFonts w:ascii="Calibri" w:hAnsi="Calibri" w:cs="Calibri"/>
        <w:color w:val="000000"/>
        <w:sz w:val="20"/>
        <w:lang w:val="en-US"/>
      </w:rPr>
      <w:t>TOTAL Classification: Restricted Distribution</w:t>
    </w:r>
  </w:p>
  <w:p w14:paraId="65A2E7D6" w14:textId="7921D779" w:rsidR="006544D6" w:rsidRPr="006544D6" w:rsidRDefault="006544D6" w:rsidP="006544D6">
    <w:pPr>
      <w:spacing w:after="0"/>
      <w:rPr>
        <w:rFonts w:ascii="Calibri" w:hAnsi="Calibri" w:cs="Calibri"/>
        <w:color w:val="000000"/>
        <w:sz w:val="20"/>
        <w:lang w:val="en-US"/>
      </w:rPr>
    </w:pPr>
    <w:r w:rsidRPr="00AA5DF5">
      <w:rPr>
        <w:rFonts w:ascii="Calibri" w:hAnsi="Calibri" w:cs="Calibri"/>
        <w:color w:val="000000"/>
        <w:sz w:val="20"/>
        <w:lang w:val="en-US"/>
      </w:rPr>
      <w:t>TOTAL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6B70D" w14:textId="77777777" w:rsidR="00D57CF8" w:rsidRDefault="00D57CF8" w:rsidP="006544D6">
      <w:pPr>
        <w:spacing w:after="0" w:line="240" w:lineRule="auto"/>
      </w:pPr>
      <w:r>
        <w:separator/>
      </w:r>
    </w:p>
  </w:footnote>
  <w:footnote w:type="continuationSeparator" w:id="0">
    <w:p w14:paraId="2B445321" w14:textId="77777777" w:rsidR="00D57CF8" w:rsidRDefault="00D57CF8" w:rsidP="00654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9E9A3" w14:textId="77777777" w:rsidR="006544D6" w:rsidRPr="00F56233" w:rsidRDefault="006544D6" w:rsidP="006544D6">
    <w:pPr>
      <w:spacing w:after="0" w:line="240" w:lineRule="auto"/>
      <w:rPr>
        <w:rFonts w:ascii="Arial" w:hAnsi="Arial" w:cs="Arial"/>
        <w:sz w:val="40"/>
        <w:szCs w:val="40"/>
        <w:vertAlign w:val="superscript"/>
      </w:rPr>
    </w:pPr>
    <w:r>
      <w:rPr>
        <w:rFonts w:ascii="Arial" w:hAnsi="Arial" w:cs="Arial"/>
        <w:noProof/>
        <w:sz w:val="40"/>
        <w:szCs w:val="40"/>
        <w:vertAlign w:val="superscript"/>
        <w:lang w:eastAsia="es-AR"/>
      </w:rPr>
      <w:drawing>
        <wp:anchor distT="0" distB="0" distL="114300" distR="114300" simplePos="0" relativeHeight="251659264" behindDoc="0" locked="0" layoutInCell="1" allowOverlap="1" wp14:anchorId="77DA4E6C" wp14:editId="0CFF75B5">
          <wp:simplePos x="0" y="0"/>
          <wp:positionH relativeFrom="margin">
            <wp:posOffset>4467225</wp:posOffset>
          </wp:positionH>
          <wp:positionV relativeFrom="topMargin">
            <wp:posOffset>458470</wp:posOffset>
          </wp:positionV>
          <wp:extent cx="1819275" cy="647700"/>
          <wp:effectExtent l="0" t="0" r="9525" b="0"/>
          <wp:wrapSquare wrapText="bothSides"/>
          <wp:docPr id="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DAPSA.png"/>
                  <pic:cNvPicPr/>
                </pic:nvPicPr>
                <pic:blipFill rotWithShape="1">
                  <a:blip r:embed="rId1">
                    <a:extLst>
                      <a:ext uri="{28A0092B-C50C-407E-A947-70E740481C1C}">
                        <a14:useLocalDpi xmlns:a14="http://schemas.microsoft.com/office/drawing/2010/main" val="0"/>
                      </a:ext>
                    </a:extLst>
                  </a:blip>
                  <a:srcRect l="17667" t="31547" r="18666" b="27976"/>
                  <a:stretch/>
                </pic:blipFill>
                <pic:spPr bwMode="auto">
                  <a:xfrm>
                    <a:off x="0" y="0"/>
                    <a:ext cx="181927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eastAsia="es-AR"/>
      </w:rPr>
      <w:drawing>
        <wp:inline distT="0" distB="0" distL="0" distR="0" wp14:anchorId="3F534698" wp14:editId="78C804A4">
          <wp:extent cx="2033773" cy="508959"/>
          <wp:effectExtent l="19050" t="0" r="4577"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33773" cy="508959"/>
                  </a:xfrm>
                  <a:prstGeom prst="rect">
                    <a:avLst/>
                  </a:prstGeom>
                  <a:noFill/>
                  <a:ln w="9525">
                    <a:noFill/>
                    <a:miter lim="800000"/>
                    <a:headEnd/>
                    <a:tailEnd/>
                  </a:ln>
                </pic:spPr>
              </pic:pic>
            </a:graphicData>
          </a:graphic>
        </wp:inline>
      </w:drawing>
    </w:r>
    <w:r w:rsidRPr="00F56233">
      <w:rPr>
        <w:rFonts w:ascii="Arial" w:hAnsi="Arial" w:cs="Arial"/>
        <w:sz w:val="40"/>
        <w:szCs w:val="40"/>
        <w:vertAlign w:val="superscript"/>
      </w:rPr>
      <w:tab/>
    </w:r>
    <w:r w:rsidRPr="00F56233">
      <w:rPr>
        <w:rFonts w:ascii="Arial" w:hAnsi="Arial" w:cs="Arial"/>
        <w:sz w:val="40"/>
        <w:szCs w:val="40"/>
        <w:vertAlign w:val="superscript"/>
      </w:rPr>
      <w:tab/>
    </w:r>
    <w:r w:rsidRPr="00F56233">
      <w:rPr>
        <w:rFonts w:ascii="Arial" w:hAnsi="Arial" w:cs="Arial"/>
        <w:sz w:val="40"/>
        <w:szCs w:val="40"/>
        <w:vertAlign w:val="superscript"/>
      </w:rPr>
      <w:tab/>
      <w:t xml:space="preserve"> </w:t>
    </w:r>
    <w:r w:rsidRPr="00F56233">
      <w:rPr>
        <w:rFonts w:ascii="Arial" w:hAnsi="Arial" w:cs="Arial"/>
        <w:sz w:val="40"/>
        <w:szCs w:val="40"/>
        <w:vertAlign w:val="superscript"/>
      </w:rPr>
      <w:tab/>
    </w:r>
  </w:p>
  <w:p w14:paraId="6915133D" w14:textId="77777777" w:rsidR="006544D6" w:rsidRPr="00641CCE" w:rsidRDefault="006544D6" w:rsidP="006544D6">
    <w:pPr>
      <w:rPr>
        <w:rFonts w:ascii="HelveticaNeueLT Std Extended" w:hAnsi="HelveticaNeueLT Std Extended" w:cs="Arial"/>
        <w:b/>
        <w:color w:val="CC0000"/>
        <w:sz w:val="32"/>
        <w:szCs w:val="32"/>
        <w:lang w:val="es-ES"/>
      </w:rPr>
    </w:pPr>
    <w:r w:rsidRPr="00641CCE">
      <w:rPr>
        <w:rFonts w:ascii="HelveticaNeueLT Std Extended" w:hAnsi="HelveticaNeueLT Std Extended" w:cs="Arial"/>
        <w:b/>
        <w:color w:val="CC0000"/>
        <w:sz w:val="32"/>
        <w:szCs w:val="32"/>
        <w:lang w:val="es-ES"/>
      </w:rPr>
      <w:t xml:space="preserve">        </w:t>
    </w:r>
    <w:r w:rsidRPr="00641CCE">
      <w:rPr>
        <w:rFonts w:ascii="Arial Black" w:hAnsi="Arial Black" w:cs="Arial"/>
        <w:b/>
        <w:color w:val="E10032"/>
        <w:sz w:val="32"/>
        <w:szCs w:val="32"/>
        <w:lang w:val="es-ES"/>
      </w:rPr>
      <w:t>Total Espacialidades Argentina</w:t>
    </w:r>
    <w:r w:rsidRPr="00641CCE">
      <w:rPr>
        <w:rFonts w:ascii="HelveticaNeueLT Std Extended" w:hAnsi="HelveticaNeueLT Std Extended" w:cs="Arial"/>
        <w:b/>
        <w:color w:val="CC0000"/>
        <w:sz w:val="32"/>
        <w:szCs w:val="32"/>
        <w:vertAlign w:val="superscript"/>
        <w:lang w:val="es-ES"/>
      </w:rPr>
      <w:tab/>
    </w:r>
  </w:p>
  <w:p w14:paraId="68900345" w14:textId="6B6FFD0F" w:rsidR="006544D6" w:rsidRPr="000E2F55" w:rsidRDefault="006544D6" w:rsidP="006544D6">
    <w:pPr>
      <w:spacing w:after="0" w:line="240" w:lineRule="auto"/>
      <w:jc w:val="right"/>
      <w:rPr>
        <w:rFonts w:ascii="Arial Black" w:hAnsi="Arial Black"/>
        <w:color w:val="E10032"/>
        <w:sz w:val="36"/>
        <w:szCs w:val="36"/>
        <w:lang w:val="es-ES"/>
      </w:rPr>
    </w:pPr>
    <w:r w:rsidRPr="000E2F55">
      <w:rPr>
        <w:rFonts w:ascii="HelveticaNeueLT Std Extended" w:hAnsi="HelveticaNeueLT Std Extended" w:cs="Arial"/>
        <w:b/>
        <w:color w:val="E10032"/>
        <w:sz w:val="40"/>
        <w:szCs w:val="40"/>
        <w:vertAlign w:val="superscript"/>
        <w:lang w:val="es-ES"/>
      </w:rPr>
      <w:tab/>
    </w:r>
    <w:r w:rsidRPr="000E2F55">
      <w:rPr>
        <w:rFonts w:ascii="HelveticaNeueLT Std Extended" w:hAnsi="HelveticaNeueLT Std Extended" w:cs="Arial"/>
        <w:b/>
        <w:color w:val="E10032"/>
        <w:sz w:val="40"/>
        <w:szCs w:val="40"/>
        <w:vertAlign w:val="superscript"/>
        <w:lang w:val="es-ES"/>
      </w:rPr>
      <w:tab/>
    </w:r>
    <w:r w:rsidRPr="000E2F55">
      <w:rPr>
        <w:rFonts w:ascii="HelveticaNeueLT Std Extended" w:hAnsi="HelveticaNeueLT Std Extended" w:cs="Arial"/>
        <w:b/>
        <w:color w:val="E10032"/>
        <w:sz w:val="40"/>
        <w:szCs w:val="40"/>
        <w:vertAlign w:val="superscript"/>
        <w:lang w:val="es-ES"/>
      </w:rPr>
      <w:tab/>
    </w:r>
    <w:r w:rsidRPr="000E2F55">
      <w:rPr>
        <w:rFonts w:ascii="HelveticaNeueLT Std Extended" w:hAnsi="HelveticaNeueLT Std Extended" w:cs="Arial"/>
        <w:b/>
        <w:color w:val="E10032"/>
        <w:sz w:val="40"/>
        <w:szCs w:val="40"/>
        <w:vertAlign w:val="superscript"/>
        <w:lang w:val="es-ES"/>
      </w:rPr>
      <w:tab/>
      <w:t xml:space="preserve">              </w:t>
    </w:r>
    <w:r>
      <w:rPr>
        <w:rFonts w:ascii="Arial Black" w:hAnsi="Arial Black" w:cs="Arial"/>
        <w:b/>
        <w:noProof/>
        <w:color w:val="E10032"/>
        <w:sz w:val="36"/>
        <w:szCs w:val="36"/>
        <w:lang w:val="es-ES" w:eastAsia="fr-FR"/>
      </w:rPr>
      <w:t>Comunicado de Prensa</w:t>
    </w:r>
    <w:r w:rsidRPr="000E2F55">
      <w:rPr>
        <w:rFonts w:ascii="Arial Black" w:hAnsi="Arial Black" w:cs="Arial"/>
        <w:b/>
        <w:color w:val="E10032"/>
        <w:sz w:val="36"/>
        <w:szCs w:val="36"/>
        <w:lang w:val="es-ES"/>
      </w:rPr>
      <w:t xml:space="preserve"> </w:t>
    </w:r>
  </w:p>
  <w:p w14:paraId="1DDEE257" w14:textId="77777777" w:rsidR="006544D6" w:rsidRDefault="006544D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4D6"/>
    <w:rsid w:val="00266B6E"/>
    <w:rsid w:val="00406E0E"/>
    <w:rsid w:val="005E5EF8"/>
    <w:rsid w:val="006405B4"/>
    <w:rsid w:val="006544D6"/>
    <w:rsid w:val="00672B2E"/>
    <w:rsid w:val="00710EA8"/>
    <w:rsid w:val="00746ACE"/>
    <w:rsid w:val="00861E8F"/>
    <w:rsid w:val="009047CC"/>
    <w:rsid w:val="00972AA8"/>
    <w:rsid w:val="00B83F44"/>
    <w:rsid w:val="00D57CF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824A9D"/>
  <w15:docId w15:val="{11F16376-059E-46CF-B3E7-82F99EE9D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E8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44D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544D6"/>
  </w:style>
  <w:style w:type="paragraph" w:styleId="Piedepgina">
    <w:name w:val="footer"/>
    <w:basedOn w:val="Normal"/>
    <w:link w:val="PiedepginaCar"/>
    <w:uiPriority w:val="99"/>
    <w:unhideWhenUsed/>
    <w:rsid w:val="006544D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44D6"/>
  </w:style>
  <w:style w:type="character" w:styleId="Hipervnculo">
    <w:name w:val="Hyperlink"/>
    <w:basedOn w:val="Fuentedeprrafopredeter"/>
    <w:uiPriority w:val="99"/>
    <w:unhideWhenUsed/>
    <w:rsid w:val="006544D6"/>
    <w:rPr>
      <w:color w:val="0563C1" w:themeColor="hyperlink"/>
      <w:u w:val="single"/>
    </w:rPr>
  </w:style>
  <w:style w:type="paragraph" w:customStyle="1" w:styleId="xmsonormal">
    <w:name w:val="x_msonormal"/>
    <w:basedOn w:val="Normal"/>
    <w:rsid w:val="006544D6"/>
    <w:pPr>
      <w:spacing w:after="0" w:line="240" w:lineRule="auto"/>
    </w:pPr>
    <w:rPr>
      <w:rFonts w:ascii="Calibri" w:hAnsi="Calibri" w:cs="Calibri"/>
      <w:lang w:val="es-MX" w:eastAsia="es-MX"/>
    </w:rPr>
  </w:style>
  <w:style w:type="paragraph" w:styleId="Textodeglobo">
    <w:name w:val="Balloon Text"/>
    <w:basedOn w:val="Normal"/>
    <w:link w:val="TextodegloboCar"/>
    <w:uiPriority w:val="99"/>
    <w:semiHidden/>
    <w:unhideWhenUsed/>
    <w:rsid w:val="006544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44D6"/>
    <w:rPr>
      <w:rFonts w:ascii="Segoe UI" w:hAnsi="Segoe UI" w:cs="Segoe UI"/>
      <w:sz w:val="18"/>
      <w:szCs w:val="18"/>
    </w:rPr>
  </w:style>
  <w:style w:type="character" w:styleId="Mencinsinresolver">
    <w:name w:val="Unresolved Mention"/>
    <w:basedOn w:val="Fuentedeprrafopredeter"/>
    <w:uiPriority w:val="99"/>
    <w:semiHidden/>
    <w:unhideWhenUsed/>
    <w:rsid w:val="00B83F44"/>
    <w:rPr>
      <w:color w:val="605E5C"/>
      <w:shd w:val="clear" w:color="auto" w:fill="E1DFDD"/>
    </w:rPr>
  </w:style>
  <w:style w:type="paragraph" w:styleId="NormalWeb">
    <w:name w:val="Normal (Web)"/>
    <w:basedOn w:val="Normal"/>
    <w:uiPriority w:val="99"/>
    <w:semiHidden/>
    <w:unhideWhenUsed/>
    <w:rsid w:val="00861E8F"/>
    <w:pPr>
      <w:spacing w:after="0" w:line="240" w:lineRule="auto"/>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1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f.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ubricants.total.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iani@daps.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icaela.ravina@total.com" TargetMode="External"/><Relationship Id="rId4" Type="http://schemas.openxmlformats.org/officeDocument/2006/relationships/footnotes" Target="footnotes.xml"/><Relationship Id="rId9" Type="http://schemas.openxmlformats.org/officeDocument/2006/relationships/hyperlink" Target="mailto:dolores.serrano@tota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892</Words>
  <Characters>5091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Micaela RAVINA</cp:lastModifiedBy>
  <cp:revision>7</cp:revision>
  <dcterms:created xsi:type="dcterms:W3CDTF">2020-10-20T21:11:00Z</dcterms:created>
  <dcterms:modified xsi:type="dcterms:W3CDTF">2020-10-26T21:21:00Z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iteId">
    <vt:lpwstr>329e91b0-e21f-48fb-a071-456717ecc28e</vt:lpwstr>
  </property>
  <property fmtid="{D5CDD505-2E9C-101B-9397-08002B2CF9AE}" pid="4" name="MSIP_Label_2b30ed1b-e95f-40b5-af89-828263f287a7_Owner">
    <vt:lpwstr>micaela.ravina@total.com</vt:lpwstr>
  </property>
  <property fmtid="{D5CDD505-2E9C-101B-9397-08002B2CF9AE}" pid="5" name="MSIP_Label_2b30ed1b-e95f-40b5-af89-828263f287a7_SetDate">
    <vt:lpwstr>2020-10-20T17:15:51.0722390Z</vt:lpwstr>
  </property>
  <property fmtid="{D5CDD505-2E9C-101B-9397-08002B2CF9AE}" pid="6" name="MSIP_Label_2b30ed1b-e95f-40b5-af89-828263f287a7_Name">
    <vt:lpwstr>Restricted</vt:lpwstr>
  </property>
  <property fmtid="{D5CDD505-2E9C-101B-9397-08002B2CF9AE}" pid="7" name="MSIP_Label_2b30ed1b-e95f-40b5-af89-828263f287a7_Application">
    <vt:lpwstr>Microsoft Azure Information Protection</vt:lpwstr>
  </property>
  <property fmtid="{D5CDD505-2E9C-101B-9397-08002B2CF9AE}" pid="8" name="MSIP_Label_2b30ed1b-e95f-40b5-af89-828263f287a7_ActionId">
    <vt:lpwstr>edbd4a3a-f84f-40fe-861c-cf6747749d67</vt:lpwstr>
  </property>
  <property fmtid="{D5CDD505-2E9C-101B-9397-08002B2CF9AE}" pid="9" name="MSIP_Label_2b30ed1b-e95f-40b5-af89-828263f287a7_Extended_MSFT_Method">
    <vt:lpwstr>Automatic</vt:lpwstr>
  </property>
  <property fmtid="{D5CDD505-2E9C-101B-9397-08002B2CF9AE}" pid="10" name="Sensitivity">
    <vt:lpwstr>Restricted</vt:lpwstr>
  </property>
</Properties>
</file>