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ED2" w:rsidRDefault="00CA1ED2" w:rsidP="00253657">
      <w:pPr>
        <w:jc w:val="center"/>
        <w:rPr>
          <w:b/>
          <w:sz w:val="44"/>
          <w:szCs w:val="44"/>
          <w:lang w:val="es-AR"/>
        </w:rPr>
      </w:pPr>
    </w:p>
    <w:p w:rsidR="00253657" w:rsidRPr="000F20A2" w:rsidRDefault="007947AD" w:rsidP="00253657">
      <w:pPr>
        <w:jc w:val="center"/>
        <w:rPr>
          <w:b/>
          <w:bCs/>
          <w:sz w:val="30"/>
          <w:szCs w:val="30"/>
        </w:rPr>
      </w:pPr>
      <w:r w:rsidRPr="000F20A2">
        <w:rPr>
          <w:b/>
          <w:bCs/>
          <w:sz w:val="30"/>
          <w:szCs w:val="30"/>
        </w:rPr>
        <w:t xml:space="preserve">TotalEnergies y Porsche Chile renuevan su </w:t>
      </w:r>
      <w:r w:rsidR="00706639" w:rsidRPr="000F20A2">
        <w:rPr>
          <w:b/>
          <w:bCs/>
          <w:sz w:val="30"/>
          <w:szCs w:val="30"/>
        </w:rPr>
        <w:t>alianza</w:t>
      </w:r>
    </w:p>
    <w:p w:rsidR="007947AD" w:rsidRPr="00253657" w:rsidRDefault="007947AD" w:rsidP="00253657">
      <w:pPr>
        <w:jc w:val="center"/>
        <w:rPr>
          <w:b/>
          <w:sz w:val="28"/>
          <w:szCs w:val="28"/>
          <w:lang w:val="es-AR"/>
        </w:rPr>
      </w:pPr>
    </w:p>
    <w:p w:rsidR="007947AD" w:rsidRPr="000F20A2" w:rsidRDefault="00AC0E54" w:rsidP="00253657">
      <w:pPr>
        <w:rPr>
          <w:sz w:val="22"/>
          <w:szCs w:val="22"/>
        </w:rPr>
      </w:pPr>
      <w:r w:rsidRPr="000F20A2">
        <w:rPr>
          <w:b/>
          <w:bCs/>
          <w:sz w:val="22"/>
          <w:szCs w:val="22"/>
        </w:rPr>
        <w:t xml:space="preserve">Chile, </w:t>
      </w:r>
      <w:r w:rsidR="00624423">
        <w:rPr>
          <w:b/>
          <w:bCs/>
          <w:sz w:val="22"/>
          <w:szCs w:val="22"/>
        </w:rPr>
        <w:t>5</w:t>
      </w:r>
      <w:r w:rsidR="008D12B7" w:rsidRPr="000F20A2">
        <w:rPr>
          <w:b/>
          <w:bCs/>
          <w:sz w:val="22"/>
          <w:szCs w:val="22"/>
        </w:rPr>
        <w:t xml:space="preserve"> de </w:t>
      </w:r>
      <w:r w:rsidR="00624423">
        <w:rPr>
          <w:b/>
          <w:bCs/>
          <w:sz w:val="22"/>
          <w:szCs w:val="22"/>
        </w:rPr>
        <w:t xml:space="preserve">septiembre </w:t>
      </w:r>
      <w:r w:rsidRPr="000F20A2">
        <w:rPr>
          <w:b/>
          <w:bCs/>
          <w:sz w:val="22"/>
          <w:szCs w:val="22"/>
        </w:rPr>
        <w:t xml:space="preserve">de 2022 </w:t>
      </w:r>
      <w:r w:rsidRPr="000F20A2">
        <w:rPr>
          <w:sz w:val="22"/>
          <w:szCs w:val="22"/>
        </w:rPr>
        <w:t>–</w:t>
      </w:r>
      <w:r w:rsidR="00624423">
        <w:rPr>
          <w:sz w:val="22"/>
          <w:szCs w:val="22"/>
        </w:rPr>
        <w:t xml:space="preserve"> </w:t>
      </w:r>
      <w:r w:rsidR="00253657" w:rsidRPr="000F20A2">
        <w:rPr>
          <w:sz w:val="22"/>
          <w:szCs w:val="22"/>
        </w:rPr>
        <w:t>TotalEnergies</w:t>
      </w:r>
      <w:r w:rsidR="00624423">
        <w:rPr>
          <w:sz w:val="22"/>
          <w:szCs w:val="22"/>
        </w:rPr>
        <w:t xml:space="preserve"> </w:t>
      </w:r>
      <w:r w:rsidR="007947AD" w:rsidRPr="000F20A2">
        <w:rPr>
          <w:sz w:val="22"/>
          <w:szCs w:val="22"/>
        </w:rPr>
        <w:t xml:space="preserve">y el Grupo Porsche Chile renovaron por tres años el acuerdo que </w:t>
      </w:r>
      <w:r w:rsidR="00706639" w:rsidRPr="000F20A2">
        <w:rPr>
          <w:sz w:val="22"/>
          <w:szCs w:val="22"/>
        </w:rPr>
        <w:t xml:space="preserve">tenían desde el 2015 para la recomendación de los lubricantes </w:t>
      </w:r>
      <w:r w:rsidR="008D12B7" w:rsidRPr="000F20A2">
        <w:rPr>
          <w:sz w:val="22"/>
          <w:szCs w:val="22"/>
        </w:rPr>
        <w:t xml:space="preserve">Quartz </w:t>
      </w:r>
      <w:r w:rsidR="00706639" w:rsidRPr="000F20A2">
        <w:rPr>
          <w:sz w:val="22"/>
          <w:szCs w:val="22"/>
        </w:rPr>
        <w:t xml:space="preserve">y </w:t>
      </w:r>
      <w:r w:rsidR="008D12B7" w:rsidRPr="000F20A2">
        <w:rPr>
          <w:sz w:val="22"/>
          <w:szCs w:val="22"/>
        </w:rPr>
        <w:t xml:space="preserve">Rubia </w:t>
      </w:r>
      <w:r w:rsidR="00706639" w:rsidRPr="000F20A2">
        <w:rPr>
          <w:sz w:val="22"/>
          <w:szCs w:val="22"/>
        </w:rPr>
        <w:t xml:space="preserve">en los talleres </w:t>
      </w:r>
      <w:r w:rsidR="008A3EB0" w:rsidRPr="000F20A2">
        <w:rPr>
          <w:sz w:val="22"/>
          <w:szCs w:val="22"/>
        </w:rPr>
        <w:t xml:space="preserve">de su red de concesionarios autorizados </w:t>
      </w:r>
      <w:r w:rsidR="00706639" w:rsidRPr="000F20A2">
        <w:rPr>
          <w:sz w:val="22"/>
          <w:szCs w:val="22"/>
        </w:rPr>
        <w:t xml:space="preserve">de las marcas que representa el Grupo Porsche en Chile.  </w:t>
      </w:r>
    </w:p>
    <w:p w:rsidR="007947AD" w:rsidRPr="000F20A2" w:rsidRDefault="007947AD" w:rsidP="00253657">
      <w:pPr>
        <w:rPr>
          <w:sz w:val="22"/>
          <w:szCs w:val="22"/>
        </w:rPr>
      </w:pPr>
    </w:p>
    <w:p w:rsidR="00706639" w:rsidRPr="000F20A2" w:rsidRDefault="007947AD" w:rsidP="00706639">
      <w:pPr>
        <w:rPr>
          <w:sz w:val="22"/>
          <w:szCs w:val="22"/>
        </w:rPr>
      </w:pPr>
      <w:r w:rsidRPr="000F20A2">
        <w:rPr>
          <w:sz w:val="22"/>
          <w:szCs w:val="22"/>
        </w:rPr>
        <w:t>De esta</w:t>
      </w:r>
      <w:r w:rsidR="00624423">
        <w:rPr>
          <w:sz w:val="22"/>
          <w:szCs w:val="22"/>
        </w:rPr>
        <w:t xml:space="preserve"> </w:t>
      </w:r>
      <w:r w:rsidRPr="000F20A2">
        <w:rPr>
          <w:sz w:val="22"/>
          <w:szCs w:val="22"/>
        </w:rPr>
        <w:t xml:space="preserve">manera, </w:t>
      </w:r>
      <w:r w:rsidR="00706639" w:rsidRPr="000F20A2">
        <w:rPr>
          <w:sz w:val="22"/>
          <w:szCs w:val="22"/>
        </w:rPr>
        <w:t xml:space="preserve">en todos los talleres y concesionarios de Volkswagen, Audi, </w:t>
      </w:r>
      <w:r w:rsidR="00E139BC" w:rsidRPr="000F20A2">
        <w:rPr>
          <w:sz w:val="22"/>
          <w:szCs w:val="22"/>
        </w:rPr>
        <w:t>CUPRA,</w:t>
      </w:r>
      <w:r w:rsidR="00706639" w:rsidRPr="000F20A2">
        <w:rPr>
          <w:sz w:val="22"/>
          <w:szCs w:val="22"/>
        </w:rPr>
        <w:t xml:space="preserve">SEAT, </w:t>
      </w:r>
      <w:r w:rsidR="009F7BB9" w:rsidRPr="000F20A2">
        <w:rPr>
          <w:sz w:val="22"/>
          <w:szCs w:val="22"/>
        </w:rPr>
        <w:t xml:space="preserve">Škoda, </w:t>
      </w:r>
      <w:r w:rsidR="00706639" w:rsidRPr="000F20A2">
        <w:rPr>
          <w:sz w:val="22"/>
          <w:szCs w:val="22"/>
        </w:rPr>
        <w:t xml:space="preserve">MAN y Volkswagen Camiones y Buses se ofrecerá el servicio de cambio de aceite con productos de alto rendimiento de la </w:t>
      </w:r>
      <w:r w:rsidR="009135C0" w:rsidRPr="000F20A2">
        <w:rPr>
          <w:sz w:val="22"/>
          <w:szCs w:val="22"/>
        </w:rPr>
        <w:t>compañía</w:t>
      </w:r>
      <w:r w:rsidR="00706639" w:rsidRPr="000F20A2">
        <w:rPr>
          <w:sz w:val="22"/>
          <w:szCs w:val="22"/>
        </w:rPr>
        <w:t xml:space="preserve"> francesa.  </w:t>
      </w:r>
    </w:p>
    <w:p w:rsidR="00706639" w:rsidRPr="000F20A2" w:rsidRDefault="00706639" w:rsidP="00706639">
      <w:pPr>
        <w:rPr>
          <w:sz w:val="22"/>
          <w:szCs w:val="22"/>
        </w:rPr>
      </w:pPr>
    </w:p>
    <w:p w:rsidR="00706639" w:rsidRPr="000F20A2" w:rsidRDefault="00706639" w:rsidP="00706639">
      <w:pPr>
        <w:rPr>
          <w:b/>
          <w:bCs/>
          <w:sz w:val="22"/>
          <w:szCs w:val="22"/>
        </w:rPr>
      </w:pPr>
      <w:r w:rsidRPr="000F20A2">
        <w:rPr>
          <w:i/>
          <w:iCs/>
          <w:sz w:val="22"/>
          <w:szCs w:val="22"/>
        </w:rPr>
        <w:t xml:space="preserve">“Renovar este acuerdo nos da mucha satisfacción porque demuestra, una vez más, que TotalEnergies </w:t>
      </w:r>
      <w:r w:rsidR="009135C0" w:rsidRPr="000F20A2">
        <w:rPr>
          <w:i/>
          <w:iCs/>
          <w:sz w:val="22"/>
          <w:szCs w:val="22"/>
        </w:rPr>
        <w:t xml:space="preserve">ofrece </w:t>
      </w:r>
      <w:r w:rsidRPr="000F20A2">
        <w:rPr>
          <w:i/>
          <w:iCs/>
          <w:sz w:val="22"/>
          <w:szCs w:val="22"/>
        </w:rPr>
        <w:t xml:space="preserve">una gama de productos a la vanguardia y un servicio de excelencia </w:t>
      </w:r>
      <w:r w:rsidR="007D42C5" w:rsidRPr="000F20A2">
        <w:rPr>
          <w:i/>
          <w:iCs/>
          <w:sz w:val="22"/>
          <w:szCs w:val="22"/>
        </w:rPr>
        <w:t>como el que las marcas de Porsche Chile necesitan</w:t>
      </w:r>
      <w:r w:rsidRPr="000F20A2">
        <w:rPr>
          <w:i/>
          <w:iCs/>
          <w:sz w:val="22"/>
          <w:szCs w:val="22"/>
        </w:rPr>
        <w:t>”</w:t>
      </w:r>
      <w:r w:rsidR="00624423">
        <w:rPr>
          <w:i/>
          <w:iCs/>
          <w:sz w:val="22"/>
          <w:szCs w:val="22"/>
        </w:rPr>
        <w:t>,</w:t>
      </w:r>
      <w:r w:rsidRPr="000F20A2">
        <w:rPr>
          <w:sz w:val="22"/>
          <w:szCs w:val="22"/>
        </w:rPr>
        <w:t xml:space="preserve"> remarcó </w:t>
      </w:r>
      <w:r w:rsidRPr="000F20A2">
        <w:rPr>
          <w:b/>
          <w:bCs/>
          <w:sz w:val="22"/>
          <w:szCs w:val="22"/>
        </w:rPr>
        <w:t xml:space="preserve">Daniel Fellhandler, Director </w:t>
      </w:r>
      <w:r w:rsidR="009135C0" w:rsidRPr="000F20A2">
        <w:rPr>
          <w:b/>
          <w:bCs/>
          <w:sz w:val="22"/>
          <w:szCs w:val="22"/>
        </w:rPr>
        <w:t>General de</w:t>
      </w:r>
      <w:r w:rsidRPr="000F20A2">
        <w:rPr>
          <w:b/>
          <w:bCs/>
          <w:sz w:val="22"/>
          <w:szCs w:val="22"/>
        </w:rPr>
        <w:t xml:space="preserve"> TotalEnergies Marketing Chile.</w:t>
      </w:r>
    </w:p>
    <w:p w:rsidR="00C959FC" w:rsidRPr="000F20A2" w:rsidRDefault="00C959FC" w:rsidP="00706639">
      <w:pPr>
        <w:rPr>
          <w:sz w:val="22"/>
          <w:szCs w:val="22"/>
        </w:rPr>
      </w:pPr>
    </w:p>
    <w:p w:rsidR="00192F3C" w:rsidRPr="000F20A2" w:rsidRDefault="00192F3C" w:rsidP="00192F3C">
      <w:pPr>
        <w:rPr>
          <w:sz w:val="22"/>
          <w:szCs w:val="22"/>
        </w:rPr>
      </w:pPr>
      <w:r w:rsidRPr="000F20A2">
        <w:rPr>
          <w:sz w:val="22"/>
          <w:szCs w:val="22"/>
        </w:rPr>
        <w:t xml:space="preserve">Se trata del tercer contrato consecutivo entre TotalEnergies y el Grupo Porsche Chile. Ambas compañías comparten los valores de innovación y confiabilidad. Con la renovación de esta alianza, reafirman la voluntad conjunta de reforzar su presencia en el mercado y de desarrollar en conjunto productos y servicios de calidad con foco en sus clientes. </w:t>
      </w:r>
    </w:p>
    <w:p w:rsidR="00C959FC" w:rsidRPr="000F20A2" w:rsidRDefault="00C959FC" w:rsidP="00706639">
      <w:pPr>
        <w:rPr>
          <w:sz w:val="22"/>
          <w:szCs w:val="22"/>
        </w:rPr>
      </w:pPr>
    </w:p>
    <w:p w:rsidR="003B761E" w:rsidRPr="000F20A2" w:rsidRDefault="003B761E" w:rsidP="003B761E">
      <w:pPr>
        <w:rPr>
          <w:b/>
          <w:bCs/>
          <w:sz w:val="22"/>
          <w:szCs w:val="22"/>
        </w:rPr>
      </w:pPr>
      <w:r w:rsidRPr="000F20A2">
        <w:rPr>
          <w:i/>
          <w:iCs/>
          <w:sz w:val="22"/>
          <w:szCs w:val="22"/>
        </w:rPr>
        <w:t>“Estamos muy contentos de continuar con esta alianza junto a TotalEnergies, ya son varios años de trabajo en conjunto que nos han demostrado la confiabilidad y calidad de sus productos al servicio de nuestra amplia gama de modelos. Esto no solo permite asegurar su máximo rendimiento, sino también optimizar la vida útil del vehículo y de sus componentes”,</w:t>
      </w:r>
      <w:r w:rsidRPr="000F20A2">
        <w:rPr>
          <w:sz w:val="22"/>
          <w:szCs w:val="22"/>
        </w:rPr>
        <w:t xml:space="preserve"> añadió </w:t>
      </w:r>
      <w:r w:rsidRPr="000F20A2">
        <w:rPr>
          <w:b/>
          <w:bCs/>
          <w:sz w:val="22"/>
          <w:szCs w:val="22"/>
        </w:rPr>
        <w:t xml:space="preserve">Macarena Villaseca, </w:t>
      </w:r>
      <w:r w:rsidR="007D42C5" w:rsidRPr="000F20A2">
        <w:rPr>
          <w:b/>
          <w:bCs/>
          <w:sz w:val="22"/>
          <w:szCs w:val="22"/>
        </w:rPr>
        <w:t>G</w:t>
      </w:r>
      <w:r w:rsidRPr="000F20A2">
        <w:rPr>
          <w:b/>
          <w:bCs/>
          <w:sz w:val="22"/>
          <w:szCs w:val="22"/>
        </w:rPr>
        <w:t xml:space="preserve">erente de Postventa de Porsche Chile. </w:t>
      </w:r>
    </w:p>
    <w:p w:rsidR="003B761E" w:rsidRDefault="003B761E" w:rsidP="003B761E">
      <w:pPr>
        <w:rPr>
          <w:sz w:val="24"/>
          <w:szCs w:val="24"/>
          <w:lang w:val="es-AR"/>
        </w:rPr>
      </w:pPr>
    </w:p>
    <w:p w:rsidR="000F20A2" w:rsidRDefault="000F20A2" w:rsidP="000F20A2">
      <w:pPr>
        <w:contextualSpacing/>
        <w:jc w:val="center"/>
        <w:rPr>
          <w:rStyle w:val="Referenciasutil"/>
        </w:rPr>
      </w:pPr>
      <w:r w:rsidRPr="000F20A2">
        <w:rPr>
          <w:rStyle w:val="Referenciasutil"/>
        </w:rPr>
        <w:t>***</w:t>
      </w:r>
    </w:p>
    <w:p w:rsidR="000F20A2" w:rsidRPr="000F20A2" w:rsidRDefault="000F20A2" w:rsidP="000F20A2">
      <w:pPr>
        <w:contextualSpacing/>
        <w:jc w:val="center"/>
        <w:rPr>
          <w:rStyle w:val="Referenciasutil"/>
          <w:i w:val="0"/>
          <w:iCs w:val="0"/>
          <w:sz w:val="20"/>
          <w:szCs w:val="20"/>
        </w:rPr>
      </w:pPr>
    </w:p>
    <w:p w:rsidR="000F20A2" w:rsidRPr="007C6D8D" w:rsidRDefault="000F20A2" w:rsidP="000F20A2">
      <w:pPr>
        <w:contextualSpacing/>
        <w:rPr>
          <w:rStyle w:val="Referenciasutil"/>
          <w:b/>
          <w:bCs/>
          <w:i w:val="0"/>
          <w:iCs w:val="0"/>
          <w:sz w:val="20"/>
          <w:szCs w:val="20"/>
          <w:lang w:val="es-AR"/>
        </w:rPr>
      </w:pPr>
      <w:r w:rsidRPr="007C6D8D">
        <w:rPr>
          <w:rStyle w:val="Referenciasutil"/>
          <w:b/>
          <w:bCs/>
          <w:i w:val="0"/>
          <w:iCs w:val="0"/>
          <w:sz w:val="20"/>
          <w:szCs w:val="20"/>
          <w:lang w:val="es-AR"/>
        </w:rPr>
        <w:t>Acerca de Total</w:t>
      </w:r>
      <w:r>
        <w:rPr>
          <w:rStyle w:val="Referenciasutil"/>
          <w:b/>
          <w:bCs/>
          <w:i w:val="0"/>
          <w:iCs w:val="0"/>
          <w:sz w:val="20"/>
          <w:szCs w:val="20"/>
          <w:lang w:val="es-AR"/>
        </w:rPr>
        <w:t>Energies Marketing Chile</w:t>
      </w:r>
    </w:p>
    <w:p w:rsidR="000F20A2" w:rsidRPr="000F20A2" w:rsidRDefault="000F20A2" w:rsidP="000F20A2">
      <w:pPr>
        <w:contextualSpacing/>
      </w:pPr>
      <w:r w:rsidRPr="00850126">
        <w:rPr>
          <w:lang w:val="es-AR"/>
        </w:rPr>
        <w:t xml:space="preserve">TotalEnergies está presente en el mercado de lubricantes en </w:t>
      </w:r>
      <w:r>
        <w:rPr>
          <w:lang w:val="es-AR"/>
        </w:rPr>
        <w:t>Chile</w:t>
      </w:r>
      <w:r w:rsidRPr="00850126">
        <w:rPr>
          <w:lang w:val="es-AR"/>
        </w:rPr>
        <w:t xml:space="preserve"> a través de sus marcas Quartz, Rubia, Hi-Perf y ELF, ofreciendo una amplia gama de productos diseñados para cubrir las necesidades de los segmentos auto, moto, agro e industria. </w:t>
      </w:r>
      <w:hyperlink r:id="rId10" w:history="1">
        <w:r w:rsidRPr="000F20A2">
          <w:rPr>
            <w:rStyle w:val="Hipervnculo"/>
          </w:rPr>
          <w:t>www.totalenergies.cl</w:t>
        </w:r>
      </w:hyperlink>
      <w:r w:rsidRPr="000F20A2">
        <w:t xml:space="preserve">      </w:t>
      </w:r>
    </w:p>
    <w:p w:rsidR="000F20A2" w:rsidRPr="000F20A2" w:rsidRDefault="000F20A2" w:rsidP="000F20A2">
      <w:pPr>
        <w:contextualSpacing/>
      </w:pPr>
    </w:p>
    <w:p w:rsidR="000F20A2" w:rsidRDefault="000F20A2" w:rsidP="000F20A2">
      <w:pPr>
        <w:contextualSpacing/>
        <w:jc w:val="center"/>
      </w:pPr>
      <w:r w:rsidRPr="00B2420C">
        <w:rPr>
          <w:noProof/>
          <w:lang w:val="es-ES" w:eastAsia="es-ES"/>
        </w:rPr>
        <w:drawing>
          <wp:inline distT="0" distB="0" distL="0" distR="0">
            <wp:extent cx="215900" cy="215900"/>
            <wp:effectExtent l="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15900" cy="215900"/>
                    </a:xfrm>
                    <a:prstGeom prst="rect">
                      <a:avLst/>
                    </a:prstGeom>
                  </pic:spPr>
                </pic:pic>
              </a:graphicData>
            </a:graphic>
          </wp:inline>
        </w:drawing>
      </w:r>
      <w:hyperlink r:id="rId12" w:history="1">
        <w:r w:rsidRPr="000F20A2">
          <w:rPr>
            <w:rStyle w:val="Hipervnculo"/>
          </w:rPr>
          <w:t>TotalEnergiesChile</w:t>
        </w:r>
      </w:hyperlink>
      <w:r w:rsidRPr="00B2420C">
        <w:rPr>
          <w:noProof/>
          <w:lang w:val="es-ES" w:eastAsia="es-ES"/>
        </w:rPr>
        <w:drawing>
          <wp:inline distT="0" distB="0" distL="0" distR="0">
            <wp:extent cx="216000" cy="216000"/>
            <wp:effectExtent l="0" t="0" r="0" b="0"/>
            <wp:docPr id="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16000" cy="216000"/>
                    </a:xfrm>
                    <a:prstGeom prst="rect">
                      <a:avLst/>
                    </a:prstGeom>
                  </pic:spPr>
                </pic:pic>
              </a:graphicData>
            </a:graphic>
          </wp:inline>
        </w:drawing>
      </w:r>
      <w:r w:rsidRPr="000F20A2">
        <w:rPr>
          <w:rStyle w:val="Referenciasutil"/>
          <w:i w:val="0"/>
          <w:iCs w:val="0"/>
          <w:sz w:val="20"/>
          <w:szCs w:val="20"/>
        </w:rPr>
        <w:t> </w:t>
      </w:r>
      <w:hyperlink r:id="rId14" w:history="1">
        <w:r w:rsidRPr="000F20A2">
          <w:rPr>
            <w:rStyle w:val="Hipervnculo"/>
          </w:rPr>
          <w:t>TotalEnergies Chile</w:t>
        </w:r>
      </w:hyperlink>
      <w:r w:rsidRPr="00B2420C">
        <w:rPr>
          <w:noProof/>
          <w:lang w:val="es-ES" w:eastAsia="es-ES"/>
        </w:rPr>
        <w:drawing>
          <wp:inline distT="0" distB="0" distL="0" distR="0">
            <wp:extent cx="254511" cy="216000"/>
            <wp:effectExtent l="0" t="0" r="0" b="0"/>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54511" cy="216000"/>
                    </a:xfrm>
                    <a:prstGeom prst="rect">
                      <a:avLst/>
                    </a:prstGeom>
                  </pic:spPr>
                </pic:pic>
              </a:graphicData>
            </a:graphic>
          </wp:inline>
        </w:drawing>
      </w:r>
      <w:hyperlink r:id="rId16" w:history="1">
        <w:r w:rsidRPr="000F20A2">
          <w:rPr>
            <w:rStyle w:val="Hipervnculo"/>
          </w:rPr>
          <w:t>TotalEnergiesMobility Solutions</w:t>
        </w:r>
      </w:hyperlink>
      <w:r>
        <w:br/>
      </w:r>
    </w:p>
    <w:p w:rsidR="000F20A2" w:rsidRDefault="000F20A2" w:rsidP="000F20A2">
      <w:pPr>
        <w:contextualSpacing/>
        <w:jc w:val="center"/>
      </w:pPr>
    </w:p>
    <w:p w:rsidR="000F20A2" w:rsidRPr="005F5BF3" w:rsidRDefault="000F20A2" w:rsidP="000F20A2">
      <w:pPr>
        <w:contextualSpacing/>
        <w:rPr>
          <w:rStyle w:val="Referenciasutil"/>
          <w:b/>
          <w:bCs/>
          <w:i w:val="0"/>
          <w:iCs w:val="0"/>
          <w:sz w:val="20"/>
          <w:szCs w:val="20"/>
          <w:lang w:val="es-MX"/>
        </w:rPr>
      </w:pPr>
      <w:bookmarkStart w:id="0" w:name="_Hlk109825832"/>
      <w:r w:rsidRPr="005F5BF3">
        <w:rPr>
          <w:rStyle w:val="Referenciasutil"/>
          <w:b/>
          <w:bCs/>
          <w:i w:val="0"/>
          <w:iCs w:val="0"/>
          <w:sz w:val="20"/>
          <w:szCs w:val="20"/>
          <w:lang w:val="es-MX"/>
        </w:rPr>
        <w:t>Sobre TotalEnergies</w:t>
      </w:r>
    </w:p>
    <w:p w:rsidR="000F20A2" w:rsidRPr="005F5BF3" w:rsidRDefault="000F20A2" w:rsidP="000F20A2">
      <w:pPr>
        <w:contextualSpacing/>
        <w:rPr>
          <w:rStyle w:val="Referenciasutil"/>
          <w:i w:val="0"/>
          <w:iCs w:val="0"/>
          <w:sz w:val="20"/>
          <w:szCs w:val="20"/>
          <w:lang w:val="es-MX"/>
        </w:rPr>
      </w:pPr>
      <w:r w:rsidRPr="005F5BF3">
        <w:rPr>
          <w:rStyle w:val="Referenciasutil"/>
          <w:i w:val="0"/>
          <w:iCs w:val="0"/>
          <w:sz w:val="20"/>
          <w:szCs w:val="20"/>
          <w:lang w:val="es-MX"/>
        </w:rPr>
        <w:t xml:space="preserve">TotalEnergies es una compañía multienergética global que produce y comercializa energías: petróleo y biocombustibles, gas natural y gases verdes, renovables y electricidad. Nuestros </w:t>
      </w:r>
      <w:r>
        <w:rPr>
          <w:rStyle w:val="Referenciasutil"/>
          <w:i w:val="0"/>
          <w:iCs w:val="0"/>
          <w:sz w:val="20"/>
          <w:szCs w:val="20"/>
          <w:lang w:val="es-MX"/>
        </w:rPr>
        <w:t xml:space="preserve">más de </w:t>
      </w:r>
      <w:r w:rsidRPr="005F5BF3">
        <w:rPr>
          <w:rStyle w:val="Referenciasutil"/>
          <w:i w:val="0"/>
          <w:iCs w:val="0"/>
          <w:sz w:val="20"/>
          <w:szCs w:val="20"/>
          <w:lang w:val="es-MX"/>
        </w:rPr>
        <w:t>10</w:t>
      </w:r>
      <w:r>
        <w:rPr>
          <w:rStyle w:val="Referenciasutil"/>
          <w:i w:val="0"/>
          <w:iCs w:val="0"/>
          <w:sz w:val="20"/>
          <w:szCs w:val="20"/>
          <w:lang w:val="es-MX"/>
        </w:rPr>
        <w:t>0</w:t>
      </w:r>
      <w:r w:rsidRPr="005F5BF3">
        <w:rPr>
          <w:rStyle w:val="Referenciasutil"/>
          <w:i w:val="0"/>
          <w:iCs w:val="0"/>
          <w:sz w:val="20"/>
          <w:szCs w:val="20"/>
          <w:lang w:val="es-MX"/>
        </w:rPr>
        <w:t>.000 empleados están comprometidos con una energía cada vez más asequible, más limpia, más fiable y accesible para la mayor cantidad de personas posible. Activa en más de 130 países, TotalEnergies pone el desarrollo sostenible en todas sus dimensiones en el centro de sus proyectos y operaciones para contribuir al bienestar de las personas.</w:t>
      </w:r>
    </w:p>
    <w:bookmarkEnd w:id="0"/>
    <w:p w:rsidR="000F20A2" w:rsidRPr="000F20A2" w:rsidRDefault="000F20A2" w:rsidP="000F20A2">
      <w:pPr>
        <w:contextualSpacing/>
        <w:jc w:val="center"/>
        <w:rPr>
          <w:rStyle w:val="Hipervnculo"/>
          <w:lang w:val="es-MX"/>
        </w:rPr>
      </w:pPr>
    </w:p>
    <w:p w:rsidR="000F20A2" w:rsidRDefault="000F20A2" w:rsidP="000F20A2">
      <w:pPr>
        <w:contextualSpacing/>
        <w:rPr>
          <w:sz w:val="24"/>
          <w:szCs w:val="24"/>
        </w:rPr>
      </w:pPr>
    </w:p>
    <w:p w:rsidR="003B761E" w:rsidRPr="000F20A2" w:rsidRDefault="003B761E" w:rsidP="000F20A2">
      <w:pPr>
        <w:contextualSpacing/>
        <w:rPr>
          <w:rStyle w:val="Referenciasutil"/>
          <w:b/>
          <w:bCs/>
          <w:i w:val="0"/>
          <w:iCs w:val="0"/>
          <w:sz w:val="20"/>
          <w:szCs w:val="20"/>
          <w:lang w:val="es-AR"/>
        </w:rPr>
      </w:pPr>
      <w:r w:rsidRPr="000F20A2">
        <w:rPr>
          <w:rStyle w:val="Referenciasutil"/>
          <w:b/>
          <w:bCs/>
          <w:i w:val="0"/>
          <w:iCs w:val="0"/>
          <w:sz w:val="20"/>
          <w:szCs w:val="20"/>
          <w:lang w:val="es-AR"/>
        </w:rPr>
        <w:t>Acerca de Porsche Chile SpA.</w:t>
      </w:r>
    </w:p>
    <w:p w:rsidR="003B761E" w:rsidRPr="000F20A2" w:rsidRDefault="003B761E" w:rsidP="003B761E">
      <w:pPr>
        <w:jc w:val="left"/>
        <w:rPr>
          <w:lang w:val="es-AR"/>
        </w:rPr>
      </w:pPr>
      <w:r w:rsidRPr="000F20A2">
        <w:rPr>
          <w:lang w:val="es-AR"/>
        </w:rPr>
        <w:lastRenderedPageBreak/>
        <w:t>En abril del año 2013 la empresa Porsche Holding decidió iniciar operaciones en Chile y de esta forma gestionar de manera directa la marca Volkswagen, Audi, Škoda y MAN. En 2019, el grupo sumó a la marca española SEAT, ampliando su oferta en el mercado nacional.</w:t>
      </w:r>
    </w:p>
    <w:p w:rsidR="003B761E" w:rsidRPr="000F20A2" w:rsidRDefault="003B761E" w:rsidP="003B761E">
      <w:pPr>
        <w:jc w:val="left"/>
        <w:rPr>
          <w:lang w:val="es-AR"/>
        </w:rPr>
      </w:pPr>
      <w:r w:rsidRPr="000F20A2">
        <w:rPr>
          <w:lang w:val="es-AR"/>
        </w:rPr>
        <w:t>Porsche Chile depende directamente de Porsche Holding Salzburg, que es una base de empresas que está representada en más de 27 países y con presencia en oficinas en Sudamérica tanto en Chile como Colombia. Sus áreas de negocio incluyen servicios al por mayor, al por menor y financiera.</w:t>
      </w:r>
    </w:p>
    <w:p w:rsidR="003B761E" w:rsidRPr="000F20A2" w:rsidRDefault="003B761E" w:rsidP="003B761E">
      <w:pPr>
        <w:jc w:val="left"/>
        <w:rPr>
          <w:lang w:val="es-AR"/>
        </w:rPr>
      </w:pPr>
      <w:r w:rsidRPr="000F20A2">
        <w:rPr>
          <w:lang w:val="es-AR"/>
        </w:rPr>
        <w:t xml:space="preserve">La sede se encuentra en la ciudad de Salzburgo, Austria. Fue fundada en 1947 por los dos hijos de Ferdinand Porsche, Louise Piëch y Ferry Porsche. </w:t>
      </w:r>
    </w:p>
    <w:p w:rsidR="003B761E" w:rsidRPr="000F20A2" w:rsidRDefault="003B761E" w:rsidP="003B761E">
      <w:pPr>
        <w:jc w:val="left"/>
        <w:rPr>
          <w:lang w:val="es-AR"/>
        </w:rPr>
      </w:pPr>
      <w:r w:rsidRPr="000F20A2">
        <w:rPr>
          <w:lang w:val="es-AR"/>
        </w:rPr>
        <w:t>Durante los últimos 60 años, Porsche Holding Salzburg ha demostrado ser la empresa de comercialización de vehículos más exitosa de Europa. Desde 2011 actúa como una filial al 100% de Volkswagen AG, lo que revela el amplio conocimiento del mercado automotriz que esta compañía posee en todo el mundo.</w:t>
      </w:r>
    </w:p>
    <w:p w:rsidR="003B761E" w:rsidRPr="000F20A2" w:rsidRDefault="003B761E" w:rsidP="003B761E">
      <w:pPr>
        <w:jc w:val="left"/>
        <w:rPr>
          <w:lang w:val="es-AR"/>
        </w:rPr>
      </w:pPr>
      <w:r w:rsidRPr="000F20A2">
        <w:rPr>
          <w:lang w:val="es-AR"/>
        </w:rPr>
        <w:t>Volkswagen Group AG está compuesto por las marcas Volkswagen Vehículos Pasajeros, Audi, SEAT, Škoda, Volkswagen Vehículos Comerciales, Porsche, Bentley, Lamborghini, Ducati, Bugatti, y camiones y buses MAN y Volkswagen.</w:t>
      </w:r>
    </w:p>
    <w:p w:rsidR="00C959FC" w:rsidRDefault="00C959FC" w:rsidP="00C959FC">
      <w:pPr>
        <w:jc w:val="left"/>
        <w:rPr>
          <w:rStyle w:val="Textoennegrita"/>
          <w:rFonts w:ascii="Helvetica" w:hAnsi="Helvetica"/>
          <w:color w:val="202020"/>
          <w:sz w:val="18"/>
          <w:szCs w:val="18"/>
          <w:lang w:val="es-MX"/>
        </w:rPr>
      </w:pPr>
    </w:p>
    <w:p w:rsidR="00C959FC" w:rsidRDefault="00C959FC" w:rsidP="00C959FC">
      <w:pPr>
        <w:jc w:val="left"/>
        <w:rPr>
          <w:rStyle w:val="Textoennegrita"/>
          <w:rFonts w:ascii="Helvetica" w:hAnsi="Helvetica"/>
          <w:color w:val="202020"/>
          <w:sz w:val="18"/>
          <w:szCs w:val="18"/>
          <w:lang w:val="es-MX"/>
        </w:rPr>
      </w:pPr>
    </w:p>
    <w:p w:rsidR="000F20A2" w:rsidRPr="00CC4011" w:rsidRDefault="000F20A2" w:rsidP="000F20A2">
      <w:pPr>
        <w:contextualSpacing/>
        <w:rPr>
          <w:rStyle w:val="Referenciasutil"/>
          <w:b/>
          <w:bCs/>
          <w:i w:val="0"/>
          <w:iCs w:val="0"/>
          <w:sz w:val="20"/>
          <w:szCs w:val="20"/>
          <w:lang w:val="es-MX"/>
        </w:rPr>
      </w:pPr>
      <w:r w:rsidRPr="00CC4011">
        <w:rPr>
          <w:rStyle w:val="Referenciasutil"/>
          <w:b/>
          <w:bCs/>
          <w:i w:val="0"/>
          <w:iCs w:val="0"/>
          <w:sz w:val="20"/>
          <w:szCs w:val="20"/>
          <w:lang w:val="es-MX"/>
        </w:rPr>
        <w:t>Contactos</w:t>
      </w:r>
      <w:r>
        <w:rPr>
          <w:rStyle w:val="Referenciasutil"/>
          <w:b/>
          <w:bCs/>
          <w:i w:val="0"/>
          <w:iCs w:val="0"/>
          <w:sz w:val="20"/>
          <w:szCs w:val="20"/>
          <w:lang w:val="es-MX"/>
        </w:rPr>
        <w:t xml:space="preserve"> de Prensa </w:t>
      </w:r>
      <w:r w:rsidRPr="00CC4011">
        <w:rPr>
          <w:rStyle w:val="Referenciasutil"/>
          <w:b/>
          <w:bCs/>
          <w:i w:val="0"/>
          <w:iCs w:val="0"/>
          <w:sz w:val="20"/>
          <w:szCs w:val="20"/>
          <w:lang w:val="es-MX"/>
        </w:rPr>
        <w:t>TotalEnergies</w:t>
      </w:r>
      <w:r>
        <w:rPr>
          <w:rStyle w:val="Referenciasutil"/>
          <w:b/>
          <w:bCs/>
          <w:i w:val="0"/>
          <w:iCs w:val="0"/>
          <w:sz w:val="20"/>
          <w:szCs w:val="20"/>
          <w:lang w:val="es-MX"/>
        </w:rPr>
        <w:t xml:space="preserve"> Marketing Chile</w:t>
      </w:r>
    </w:p>
    <w:p w:rsidR="000F20A2" w:rsidRPr="00C73F79" w:rsidRDefault="000F20A2" w:rsidP="000F20A2">
      <w:pPr>
        <w:contextualSpacing/>
        <w:jc w:val="left"/>
        <w:rPr>
          <w:rStyle w:val="Referenciasutil"/>
          <w:i w:val="0"/>
          <w:iCs w:val="0"/>
          <w:sz w:val="20"/>
          <w:szCs w:val="20"/>
          <w:lang w:val="es-AR"/>
        </w:rPr>
      </w:pPr>
      <w:r>
        <w:rPr>
          <w:rStyle w:val="Referenciasutil"/>
          <w:i w:val="0"/>
          <w:iCs w:val="0"/>
          <w:sz w:val="20"/>
          <w:szCs w:val="20"/>
          <w:lang w:val="es-AR"/>
        </w:rPr>
        <w:t xml:space="preserve">Micaela Ravina | </w:t>
      </w:r>
      <w:r w:rsidRPr="00C73F79">
        <w:rPr>
          <w:rStyle w:val="Referenciasutil"/>
          <w:i w:val="0"/>
          <w:iCs w:val="0"/>
          <w:sz w:val="20"/>
          <w:szCs w:val="20"/>
          <w:lang w:val="es-AR"/>
        </w:rPr>
        <w:t>+54 9 113674</w:t>
      </w:r>
      <w:r>
        <w:rPr>
          <w:rStyle w:val="Referenciasutil"/>
          <w:i w:val="0"/>
          <w:iCs w:val="0"/>
          <w:sz w:val="20"/>
          <w:szCs w:val="20"/>
          <w:lang w:val="es-AR"/>
        </w:rPr>
        <w:t>-</w:t>
      </w:r>
      <w:r w:rsidRPr="00C73F79">
        <w:rPr>
          <w:rStyle w:val="Referenciasutil"/>
          <w:i w:val="0"/>
          <w:iCs w:val="0"/>
          <w:sz w:val="20"/>
          <w:szCs w:val="20"/>
          <w:lang w:val="es-AR"/>
        </w:rPr>
        <w:t xml:space="preserve">5681 l </w:t>
      </w:r>
      <w:hyperlink r:id="rId17" w:history="1">
        <w:r w:rsidRPr="00783DC2">
          <w:rPr>
            <w:rStyle w:val="Hipervnculo"/>
            <w:lang w:val="es-AR"/>
          </w:rPr>
          <w:t>micaela.ravina@totalenergies.com</w:t>
        </w:r>
      </w:hyperlink>
    </w:p>
    <w:p w:rsidR="000F20A2" w:rsidRDefault="000F20A2" w:rsidP="000F20A2">
      <w:pPr>
        <w:contextualSpacing/>
        <w:rPr>
          <w:rStyle w:val="Hipervnculo"/>
          <w:lang w:val="es-AR"/>
        </w:rPr>
      </w:pPr>
      <w:r>
        <w:rPr>
          <w:rStyle w:val="Referenciasutil"/>
          <w:i w:val="0"/>
          <w:iCs w:val="0"/>
          <w:sz w:val="20"/>
          <w:szCs w:val="20"/>
          <w:lang w:val="es-AR"/>
        </w:rPr>
        <w:t xml:space="preserve">Santiago Comesaña | +54 9 113636-8436 | </w:t>
      </w:r>
      <w:hyperlink r:id="rId18" w:history="1">
        <w:r w:rsidRPr="001E2DAD">
          <w:rPr>
            <w:rStyle w:val="Hipervnculo"/>
            <w:lang w:val="es-AR"/>
          </w:rPr>
          <w:t>santiago@1love.com.ar</w:t>
        </w:r>
      </w:hyperlink>
    </w:p>
    <w:p w:rsidR="000F20A2" w:rsidRDefault="000F20A2" w:rsidP="000F20A2">
      <w:pPr>
        <w:contextualSpacing/>
        <w:rPr>
          <w:rStyle w:val="Referenciasutil"/>
          <w:i w:val="0"/>
          <w:iCs w:val="0"/>
          <w:sz w:val="20"/>
          <w:szCs w:val="20"/>
          <w:lang w:val="es-AR"/>
        </w:rPr>
      </w:pPr>
    </w:p>
    <w:p w:rsidR="000F20A2" w:rsidRPr="00BD73FC" w:rsidRDefault="00C959FC" w:rsidP="000F20A2">
      <w:pPr>
        <w:contextualSpacing/>
        <w:rPr>
          <w:rStyle w:val="Referenciasutil"/>
          <w:b/>
          <w:bCs/>
          <w:i w:val="0"/>
          <w:iCs w:val="0"/>
          <w:sz w:val="20"/>
          <w:szCs w:val="20"/>
          <w:lang w:val="es-AR"/>
        </w:rPr>
      </w:pPr>
      <w:r w:rsidRPr="00C959FC">
        <w:rPr>
          <w:rFonts w:ascii="Helvetica" w:hAnsi="Helvetica"/>
          <w:color w:val="202020"/>
          <w:sz w:val="18"/>
          <w:szCs w:val="18"/>
          <w:lang w:val="es-MX"/>
        </w:rPr>
        <w:br/>
      </w:r>
      <w:r w:rsidR="000F20A2" w:rsidRPr="00BD73FC">
        <w:rPr>
          <w:rStyle w:val="Referenciasutil"/>
          <w:b/>
          <w:bCs/>
          <w:i w:val="0"/>
          <w:iCs w:val="0"/>
          <w:sz w:val="20"/>
          <w:szCs w:val="20"/>
          <w:lang w:val="es-AR"/>
        </w:rPr>
        <w:t>Nota de Precaución</w:t>
      </w:r>
    </w:p>
    <w:p w:rsidR="000F20A2" w:rsidRPr="005F5BF3" w:rsidRDefault="000F20A2" w:rsidP="000F20A2">
      <w:pPr>
        <w:contextualSpacing/>
        <w:rPr>
          <w:rStyle w:val="Referenciasutil"/>
          <w:sz w:val="20"/>
          <w:szCs w:val="20"/>
          <w:lang w:val="es-AR"/>
        </w:rPr>
      </w:pPr>
      <w:r w:rsidRPr="005F5BF3">
        <w:rPr>
          <w:rStyle w:val="Referenciasutil"/>
          <w:sz w:val="20"/>
          <w:szCs w:val="20"/>
          <w:lang w:val="es-AR"/>
        </w:rPr>
        <w:t>Los términos "TotalEnergies", "Compañía TotalEnergies" o "Compañía" en este documento se utilizan para designar a TotalEnergies SE y las entidades consolidadas que están directa o indirectamente controladas por TotalEnergies SE. Asimismo, las palabras “nosotros”, “nos” y “nuestro” también pueden usarse para referirse a estas entidades o a sus empleados. Las entidades en las que TotalEnergies SE posee directa o indirectamente una participación accionaria son entidades legales independientes. TotalEnergies SE no tiene responsabilidad por los actos u omisiones de estas entidades. Este documento puede contener información y declaraciones prospectivas que se basan en una serie de datos económicos y suposiciones realizadas en un entorno económico, competitivo y regulatorio determinado. Pueden resultar inexactos en el futuro y están sujetos a una serie de factores de riesgo. Ni TotalEnergies SE ni ninguna de sus subsidiarias asume ninguna obligación de actualizar públicamente cualquier información o declaración prospectiva, objetivos o tendencias contenidas en este documento, ya sea como resultado de nueva información, eventos futuros u otros. La información sobre los factores de riesgo que pueden afectar los resultados financieros o las actividades de TotalEnergies se proporciona en el Documento de registro más reciente, cuya versión en francés ha sido presentada por TotalEnergies SE ante el regulador de valores francés Autorité des MarchésFinanciers (AMF), y en el Formulario 20-F presentado ante la Comisión de Bolsa y Valores de los Estados Unidos (SEC).</w:t>
      </w:r>
    </w:p>
    <w:p w:rsidR="00C959FC" w:rsidRPr="000F20A2" w:rsidRDefault="00C959FC" w:rsidP="00C959FC">
      <w:pPr>
        <w:jc w:val="left"/>
        <w:rPr>
          <w:sz w:val="24"/>
          <w:szCs w:val="24"/>
          <w:lang w:val="es-AR"/>
        </w:rPr>
      </w:pPr>
    </w:p>
    <w:sectPr w:rsidR="00C959FC" w:rsidRPr="000F20A2" w:rsidSect="003858E3">
      <w:headerReference w:type="first" r:id="rId19"/>
      <w:pgSz w:w="11906" w:h="16838"/>
      <w:pgMar w:top="1644" w:right="1418" w:bottom="81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933" w:rsidRDefault="009A4933" w:rsidP="000C0E7E">
      <w:r>
        <w:separator/>
      </w:r>
    </w:p>
  </w:endnote>
  <w:endnote w:type="continuationSeparator" w:id="1">
    <w:p w:rsidR="009A4933" w:rsidRDefault="009A4933" w:rsidP="000C0E7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tham Book">
    <w:altName w:val="Calibri"/>
    <w:panose1 w:val="00000000000000000000"/>
    <w:charset w:val="00"/>
    <w:family w:val="auto"/>
    <w:notTrueType/>
    <w:pitch w:val="variable"/>
    <w:sig w:usb0="A100007F" w:usb1="4000005B" w:usb2="00000000" w:usb3="00000000" w:csb0="0000009B"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Gotham Rounded Light">
    <w:altName w:val="Calibri"/>
    <w:panose1 w:val="00000000000000000000"/>
    <w:charset w:val="00"/>
    <w:family w:val="modern"/>
    <w:notTrueType/>
    <w:pitch w:val="variable"/>
    <w:sig w:usb0="A00000FF" w:usb1="0000004A" w:usb2="00000000" w:usb3="00000000" w:csb0="0000019B"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933" w:rsidRDefault="009A4933" w:rsidP="000C0E7E">
      <w:r>
        <w:separator/>
      </w:r>
    </w:p>
  </w:footnote>
  <w:footnote w:type="continuationSeparator" w:id="1">
    <w:p w:rsidR="009A4933" w:rsidRDefault="009A4933" w:rsidP="000C0E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0A2" w:rsidRPr="000C0E7E" w:rsidRDefault="000F20A2" w:rsidP="000F20A2">
    <w:pPr>
      <w:pStyle w:val="Encabezado"/>
      <w:contextualSpacing/>
      <w:rPr>
        <w:rFonts w:ascii="Gotham Rounded Light" w:hAnsi="Gotham Rounded Light"/>
        <w:color w:val="497D91" w:themeColor="accent2"/>
        <w:sz w:val="32"/>
        <w:szCs w:val="32"/>
      </w:rPr>
    </w:pPr>
    <w:r>
      <w:rPr>
        <w:rFonts w:ascii="Gotham Rounded Light" w:hAnsi="Gotham Rounded Light"/>
        <w:noProof/>
        <w:color w:val="497D91" w:themeColor="accent2"/>
        <w:sz w:val="32"/>
        <w:szCs w:val="32"/>
        <w:lang w:val="es-ES" w:eastAsia="es-ES"/>
      </w:rPr>
      <w:drawing>
        <wp:anchor distT="0" distB="0" distL="114300" distR="114300" simplePos="0" relativeHeight="251660288" behindDoc="0" locked="0" layoutInCell="1" allowOverlap="1">
          <wp:simplePos x="0" y="0"/>
          <wp:positionH relativeFrom="column">
            <wp:posOffset>-144145</wp:posOffset>
          </wp:positionH>
          <wp:positionV relativeFrom="paragraph">
            <wp:posOffset>-144145</wp:posOffset>
          </wp:positionV>
          <wp:extent cx="1710000" cy="13500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710000" cy="1350000"/>
                  </a:xfrm>
                  <a:prstGeom prst="rect">
                    <a:avLst/>
                  </a:prstGeom>
                </pic:spPr>
              </pic:pic>
            </a:graphicData>
          </a:graphic>
        </wp:anchor>
      </w:drawing>
    </w:r>
  </w:p>
  <w:p w:rsidR="000F20A2" w:rsidRDefault="000F20A2" w:rsidP="000F20A2">
    <w:pPr>
      <w:pStyle w:val="Encabezado"/>
      <w:contextualSpacing/>
    </w:pPr>
    <w:r>
      <w:rPr>
        <w:noProof/>
        <w:lang w:val="es-ES" w:eastAsia="es-ES"/>
      </w:rPr>
      <w:drawing>
        <wp:anchor distT="0" distB="0" distL="114300" distR="114300" simplePos="0" relativeHeight="251661312" behindDoc="1" locked="0" layoutInCell="1" allowOverlap="1">
          <wp:simplePos x="0" y="0"/>
          <wp:positionH relativeFrom="margin">
            <wp:align>right</wp:align>
          </wp:positionH>
          <wp:positionV relativeFrom="paragraph">
            <wp:posOffset>66129</wp:posOffset>
          </wp:positionV>
          <wp:extent cx="2093200" cy="467833"/>
          <wp:effectExtent l="0" t="0" r="2540" b="889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93200" cy="467833"/>
                  </a:xfrm>
                  <a:prstGeom prst="rect">
                    <a:avLst/>
                  </a:prstGeom>
                  <a:noFill/>
                  <a:ln>
                    <a:noFill/>
                  </a:ln>
                </pic:spPr>
              </pic:pic>
            </a:graphicData>
          </a:graphic>
        </wp:anchor>
      </w:drawing>
    </w:r>
  </w:p>
  <w:p w:rsidR="000F20A2" w:rsidRDefault="000F20A2" w:rsidP="000F20A2">
    <w:pPr>
      <w:pStyle w:val="Encabezado"/>
      <w:contextualSpacing/>
    </w:pPr>
  </w:p>
  <w:p w:rsidR="000F20A2" w:rsidRDefault="000F20A2" w:rsidP="000F20A2">
    <w:pPr>
      <w:pStyle w:val="Encabezado"/>
      <w:contextualSpacing/>
      <w:jc w:val="right"/>
    </w:pPr>
  </w:p>
  <w:p w:rsidR="000F20A2" w:rsidRDefault="000F20A2" w:rsidP="000F20A2">
    <w:pPr>
      <w:pStyle w:val="Encabezado"/>
      <w:contextualSpacing/>
    </w:pPr>
  </w:p>
  <w:p w:rsidR="000F20A2" w:rsidRDefault="000F20A2" w:rsidP="000F20A2">
    <w:pPr>
      <w:pStyle w:val="Encabezado"/>
      <w:contextualSpacing/>
      <w:rPr>
        <w:b/>
        <w:bCs/>
        <w:sz w:val="30"/>
        <w:szCs w:val="30"/>
        <w:lang w:val="en-US"/>
      </w:rPr>
    </w:pPr>
  </w:p>
  <w:p w:rsidR="000F20A2" w:rsidRDefault="000F20A2" w:rsidP="000F20A2">
    <w:pPr>
      <w:pStyle w:val="Encabezado"/>
      <w:contextualSpacing/>
      <w:rPr>
        <w:b/>
        <w:bCs/>
        <w:sz w:val="30"/>
        <w:szCs w:val="30"/>
        <w:lang w:val="en-US"/>
      </w:rPr>
    </w:pPr>
  </w:p>
  <w:p w:rsidR="000F20A2" w:rsidRPr="000F20A2" w:rsidRDefault="000F20A2" w:rsidP="000F20A2">
    <w:pPr>
      <w:pStyle w:val="Encabezado"/>
      <w:contextualSpacing/>
      <w:rPr>
        <w:color w:val="374649"/>
        <w:sz w:val="30"/>
        <w:szCs w:val="30"/>
      </w:rPr>
    </w:pPr>
    <w:r w:rsidRPr="000F20A2">
      <w:rPr>
        <w:b/>
        <w:bCs/>
        <w:sz w:val="28"/>
        <w:szCs w:val="28"/>
      </w:rPr>
      <w:t>TotalEnergies Marketing Chile</w:t>
    </w:r>
    <w:r w:rsidRPr="000F20A2">
      <w:rPr>
        <w:b/>
        <w:bCs/>
        <w:sz w:val="28"/>
        <w:szCs w:val="28"/>
      </w:rPr>
      <w:tab/>
    </w:r>
    <w:r w:rsidRPr="000F20A2">
      <w:rPr>
        <w:b/>
        <w:bCs/>
        <w:sz w:val="28"/>
        <w:szCs w:val="28"/>
      </w:rPr>
      <w:tab/>
    </w:r>
    <w:r w:rsidRPr="000F20A2">
      <w:rPr>
        <w:color w:val="374649"/>
        <w:sz w:val="32"/>
        <w:szCs w:val="32"/>
      </w:rPr>
      <w:t>COMUNICADO DE PRENSA</w:t>
    </w:r>
  </w:p>
  <w:p w:rsidR="00872F1C" w:rsidRPr="000F20A2" w:rsidRDefault="00872F1C" w:rsidP="00872F1C">
    <w:pPr>
      <w:pStyle w:val="Encabezado"/>
      <w:contextualSpacing/>
      <w:rPr>
        <w:rFonts w:ascii="Gotham Rounded Light" w:hAnsi="Gotham Rounded Light"/>
        <w:color w:val="497D91" w:themeColor="accent2"/>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27ED2"/>
    <w:multiLevelType w:val="hybridMultilevel"/>
    <w:tmpl w:val="D3421178"/>
    <w:lvl w:ilvl="0" w:tplc="FA4A707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C26048"/>
    <w:multiLevelType w:val="hybridMultilevel"/>
    <w:tmpl w:val="CEC287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117527"/>
    <w:rsid w:val="00040CD8"/>
    <w:rsid w:val="000A0B38"/>
    <w:rsid w:val="000C0E7E"/>
    <w:rsid w:val="000C10DC"/>
    <w:rsid w:val="000F20A2"/>
    <w:rsid w:val="00106403"/>
    <w:rsid w:val="00117527"/>
    <w:rsid w:val="00134ABA"/>
    <w:rsid w:val="001420CD"/>
    <w:rsid w:val="00155E0F"/>
    <w:rsid w:val="001616CD"/>
    <w:rsid w:val="00171150"/>
    <w:rsid w:val="00192F3C"/>
    <w:rsid w:val="001B68F9"/>
    <w:rsid w:val="001C40D4"/>
    <w:rsid w:val="001D1E81"/>
    <w:rsid w:val="001F2CAF"/>
    <w:rsid w:val="0021043D"/>
    <w:rsid w:val="00220E73"/>
    <w:rsid w:val="002219D5"/>
    <w:rsid w:val="002471F3"/>
    <w:rsid w:val="00253657"/>
    <w:rsid w:val="00284C16"/>
    <w:rsid w:val="002B636D"/>
    <w:rsid w:val="002E2699"/>
    <w:rsid w:val="003673A4"/>
    <w:rsid w:val="00380622"/>
    <w:rsid w:val="003858E3"/>
    <w:rsid w:val="003B271C"/>
    <w:rsid w:val="003B761E"/>
    <w:rsid w:val="003D1827"/>
    <w:rsid w:val="003D5852"/>
    <w:rsid w:val="003E4E6C"/>
    <w:rsid w:val="00412108"/>
    <w:rsid w:val="00413C0A"/>
    <w:rsid w:val="00420C76"/>
    <w:rsid w:val="0042401D"/>
    <w:rsid w:val="00425C54"/>
    <w:rsid w:val="00435D75"/>
    <w:rsid w:val="00494157"/>
    <w:rsid w:val="004A0F25"/>
    <w:rsid w:val="004A7397"/>
    <w:rsid w:val="004D0E8E"/>
    <w:rsid w:val="00500759"/>
    <w:rsid w:val="00514D62"/>
    <w:rsid w:val="00523676"/>
    <w:rsid w:val="00536515"/>
    <w:rsid w:val="005639AA"/>
    <w:rsid w:val="00564321"/>
    <w:rsid w:val="00571D34"/>
    <w:rsid w:val="0058183D"/>
    <w:rsid w:val="00587BD2"/>
    <w:rsid w:val="00597B71"/>
    <w:rsid w:val="005C79A9"/>
    <w:rsid w:val="005D0D4F"/>
    <w:rsid w:val="005D1289"/>
    <w:rsid w:val="005D59FC"/>
    <w:rsid w:val="00624423"/>
    <w:rsid w:val="00624788"/>
    <w:rsid w:val="006323B3"/>
    <w:rsid w:val="006561FA"/>
    <w:rsid w:val="006611A1"/>
    <w:rsid w:val="00667395"/>
    <w:rsid w:val="006A068A"/>
    <w:rsid w:val="006A7348"/>
    <w:rsid w:val="006A7D6B"/>
    <w:rsid w:val="006B182B"/>
    <w:rsid w:val="006B7EF6"/>
    <w:rsid w:val="00706639"/>
    <w:rsid w:val="00711DC2"/>
    <w:rsid w:val="00716DB0"/>
    <w:rsid w:val="00726497"/>
    <w:rsid w:val="00726F55"/>
    <w:rsid w:val="00753814"/>
    <w:rsid w:val="00761FC0"/>
    <w:rsid w:val="007947AD"/>
    <w:rsid w:val="007A6B74"/>
    <w:rsid w:val="007B0E88"/>
    <w:rsid w:val="007D42C5"/>
    <w:rsid w:val="007E3E3F"/>
    <w:rsid w:val="0081509A"/>
    <w:rsid w:val="0081522F"/>
    <w:rsid w:val="008203FD"/>
    <w:rsid w:val="00872F1C"/>
    <w:rsid w:val="0087667B"/>
    <w:rsid w:val="00891B6C"/>
    <w:rsid w:val="0089363D"/>
    <w:rsid w:val="008A3EB0"/>
    <w:rsid w:val="008D12B7"/>
    <w:rsid w:val="008D70FA"/>
    <w:rsid w:val="008E1291"/>
    <w:rsid w:val="008E2035"/>
    <w:rsid w:val="008E7209"/>
    <w:rsid w:val="00903D42"/>
    <w:rsid w:val="00912D5A"/>
    <w:rsid w:val="009135C0"/>
    <w:rsid w:val="0094389E"/>
    <w:rsid w:val="009454E3"/>
    <w:rsid w:val="0095613F"/>
    <w:rsid w:val="009948A9"/>
    <w:rsid w:val="009A4933"/>
    <w:rsid w:val="009C0001"/>
    <w:rsid w:val="009F7BB9"/>
    <w:rsid w:val="00A37D7A"/>
    <w:rsid w:val="00A52352"/>
    <w:rsid w:val="00A5353B"/>
    <w:rsid w:val="00A53C0C"/>
    <w:rsid w:val="00A61526"/>
    <w:rsid w:val="00A63728"/>
    <w:rsid w:val="00A64CEC"/>
    <w:rsid w:val="00A67EB7"/>
    <w:rsid w:val="00A7032E"/>
    <w:rsid w:val="00A81F5E"/>
    <w:rsid w:val="00A92B5B"/>
    <w:rsid w:val="00AA7C61"/>
    <w:rsid w:val="00AC0E54"/>
    <w:rsid w:val="00AE0636"/>
    <w:rsid w:val="00B2323E"/>
    <w:rsid w:val="00B23950"/>
    <w:rsid w:val="00B23AB1"/>
    <w:rsid w:val="00B35596"/>
    <w:rsid w:val="00B358C3"/>
    <w:rsid w:val="00BA3964"/>
    <w:rsid w:val="00BA612F"/>
    <w:rsid w:val="00BC67B6"/>
    <w:rsid w:val="00BD69D9"/>
    <w:rsid w:val="00BF140A"/>
    <w:rsid w:val="00BF7251"/>
    <w:rsid w:val="00C129C5"/>
    <w:rsid w:val="00C44F1C"/>
    <w:rsid w:val="00C52D8A"/>
    <w:rsid w:val="00C53532"/>
    <w:rsid w:val="00C64059"/>
    <w:rsid w:val="00C74B2A"/>
    <w:rsid w:val="00C959FC"/>
    <w:rsid w:val="00CA1C2B"/>
    <w:rsid w:val="00CA1ED2"/>
    <w:rsid w:val="00CC2EDA"/>
    <w:rsid w:val="00CD762D"/>
    <w:rsid w:val="00CE0976"/>
    <w:rsid w:val="00CE54F1"/>
    <w:rsid w:val="00D01689"/>
    <w:rsid w:val="00D03CE2"/>
    <w:rsid w:val="00D16B20"/>
    <w:rsid w:val="00D2417A"/>
    <w:rsid w:val="00D269D4"/>
    <w:rsid w:val="00D44581"/>
    <w:rsid w:val="00D7590D"/>
    <w:rsid w:val="00D92BDD"/>
    <w:rsid w:val="00DD1B91"/>
    <w:rsid w:val="00DD388C"/>
    <w:rsid w:val="00DD4B3B"/>
    <w:rsid w:val="00DE2AA0"/>
    <w:rsid w:val="00DF0492"/>
    <w:rsid w:val="00E022E5"/>
    <w:rsid w:val="00E139BC"/>
    <w:rsid w:val="00E23FE6"/>
    <w:rsid w:val="00E909F0"/>
    <w:rsid w:val="00E915BD"/>
    <w:rsid w:val="00E936A6"/>
    <w:rsid w:val="00E95D64"/>
    <w:rsid w:val="00EB09B6"/>
    <w:rsid w:val="00F24ED7"/>
    <w:rsid w:val="00F53A5A"/>
    <w:rsid w:val="00F75D5A"/>
    <w:rsid w:val="00F805F1"/>
    <w:rsid w:val="00F81D08"/>
    <w:rsid w:val="00F92B06"/>
    <w:rsid w:val="4B19D30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639"/>
    <w:pPr>
      <w:jc w:val="both"/>
    </w:pPr>
    <w:rPr>
      <w:sz w:val="20"/>
      <w:szCs w:val="20"/>
    </w:rPr>
  </w:style>
  <w:style w:type="paragraph" w:styleId="Ttulo1">
    <w:name w:val="heading 1"/>
    <w:basedOn w:val="Normal"/>
    <w:next w:val="Normal"/>
    <w:link w:val="Ttulo1Car"/>
    <w:uiPriority w:val="9"/>
    <w:qFormat/>
    <w:rsid w:val="000C0E7E"/>
    <w:pPr>
      <w:outlineLvl w:val="0"/>
    </w:pPr>
    <w:rPr>
      <w:b/>
      <w:bCs/>
      <w:sz w:val="28"/>
      <w:szCs w:val="28"/>
    </w:rPr>
  </w:style>
  <w:style w:type="paragraph" w:styleId="Ttulo2">
    <w:name w:val="heading 2"/>
    <w:basedOn w:val="Normal"/>
    <w:next w:val="Normal"/>
    <w:link w:val="Ttulo2Car"/>
    <w:uiPriority w:val="9"/>
    <w:unhideWhenUsed/>
    <w:qFormat/>
    <w:rsid w:val="000C0E7E"/>
    <w:pPr>
      <w:spacing w:before="60" w:after="60"/>
      <w:outlineLvl w:val="1"/>
    </w:pPr>
    <w:rPr>
      <w:b/>
      <w:bCs/>
    </w:rPr>
  </w:style>
  <w:style w:type="paragraph" w:styleId="Ttulo3">
    <w:name w:val="heading 3"/>
    <w:basedOn w:val="Encabezado"/>
    <w:next w:val="Normal"/>
    <w:link w:val="Ttulo3Car"/>
    <w:uiPriority w:val="9"/>
    <w:unhideWhenUsed/>
    <w:qFormat/>
    <w:rsid w:val="00171150"/>
    <w:pPr>
      <w:tabs>
        <w:tab w:val="clear" w:pos="4536"/>
        <w:tab w:val="center" w:pos="1120"/>
      </w:tabs>
      <w:spacing w:after="480"/>
      <w:jc w:val="left"/>
      <w:outlineLvl w:val="2"/>
    </w:pPr>
    <w:rPr>
      <w:rFonts w:ascii="Gotham Book" w:hAnsi="Gotham Book"/>
      <w:color w:val="FF0000" w:themeColor="accent1"/>
      <w:sz w:val="32"/>
      <w:szCs w:val="28"/>
      <w:lang w:val="en-US"/>
    </w:rPr>
  </w:style>
  <w:style w:type="paragraph" w:styleId="Ttulo4">
    <w:name w:val="heading 4"/>
    <w:basedOn w:val="Normal"/>
    <w:next w:val="Normal"/>
    <w:link w:val="Ttulo4Car"/>
    <w:uiPriority w:val="9"/>
    <w:semiHidden/>
    <w:unhideWhenUsed/>
    <w:qFormat/>
    <w:rsid w:val="00DD1B91"/>
    <w:pPr>
      <w:keepNext/>
      <w:keepLines/>
      <w:spacing w:before="200"/>
      <w:outlineLvl w:val="3"/>
    </w:pPr>
    <w:rPr>
      <w:rFonts w:asciiTheme="majorHAnsi" w:eastAsiaTheme="majorEastAsia" w:hAnsiTheme="majorHAnsi" w:cstheme="majorBidi"/>
      <w:b/>
      <w:bCs/>
      <w:i/>
      <w:iCs/>
      <w:color w:val="FF0000"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7B71"/>
    <w:pPr>
      <w:tabs>
        <w:tab w:val="center" w:pos="4536"/>
        <w:tab w:val="right" w:pos="9072"/>
      </w:tabs>
    </w:pPr>
  </w:style>
  <w:style w:type="character" w:customStyle="1" w:styleId="EncabezadoCar">
    <w:name w:val="Encabezado Car"/>
    <w:basedOn w:val="Fuentedeprrafopredeter"/>
    <w:link w:val="Encabezado"/>
    <w:uiPriority w:val="99"/>
    <w:rsid w:val="00597B71"/>
  </w:style>
  <w:style w:type="paragraph" w:styleId="Piedepgina">
    <w:name w:val="footer"/>
    <w:basedOn w:val="Normal"/>
    <w:link w:val="PiedepginaCar"/>
    <w:uiPriority w:val="99"/>
    <w:unhideWhenUsed/>
    <w:rsid w:val="00597B71"/>
    <w:pPr>
      <w:tabs>
        <w:tab w:val="center" w:pos="4536"/>
        <w:tab w:val="right" w:pos="9072"/>
      </w:tabs>
    </w:pPr>
  </w:style>
  <w:style w:type="character" w:customStyle="1" w:styleId="PiedepginaCar">
    <w:name w:val="Pie de página Car"/>
    <w:basedOn w:val="Fuentedeprrafopredeter"/>
    <w:link w:val="Piedepgina"/>
    <w:uiPriority w:val="99"/>
    <w:rsid w:val="00597B71"/>
  </w:style>
  <w:style w:type="character" w:customStyle="1" w:styleId="Ttulo1Car">
    <w:name w:val="Título 1 Car"/>
    <w:basedOn w:val="Fuentedeprrafopredeter"/>
    <w:link w:val="Ttulo1"/>
    <w:uiPriority w:val="9"/>
    <w:rsid w:val="000C0E7E"/>
    <w:rPr>
      <w:b/>
      <w:bCs/>
      <w:sz w:val="28"/>
      <w:szCs w:val="28"/>
    </w:rPr>
  </w:style>
  <w:style w:type="character" w:customStyle="1" w:styleId="Ttulo2Car">
    <w:name w:val="Título 2 Car"/>
    <w:basedOn w:val="Fuentedeprrafopredeter"/>
    <w:link w:val="Ttulo2"/>
    <w:uiPriority w:val="9"/>
    <w:rsid w:val="000C0E7E"/>
    <w:rPr>
      <w:b/>
      <w:bCs/>
      <w:sz w:val="20"/>
      <w:szCs w:val="20"/>
    </w:rPr>
  </w:style>
  <w:style w:type="character" w:styleId="Referenciasutil">
    <w:name w:val="Subtle Reference"/>
    <w:uiPriority w:val="31"/>
    <w:qFormat/>
    <w:rsid w:val="00F81D08"/>
    <w:rPr>
      <w:i/>
      <w:iCs/>
      <w:sz w:val="18"/>
      <w:szCs w:val="18"/>
    </w:rPr>
  </w:style>
  <w:style w:type="character" w:styleId="Hipervnculo">
    <w:name w:val="Hyperlink"/>
    <w:basedOn w:val="Fuentedeprrafopredeter"/>
    <w:uiPriority w:val="99"/>
    <w:unhideWhenUsed/>
    <w:rsid w:val="00A67EB7"/>
    <w:rPr>
      <w:color w:val="285AFF" w:themeColor="hyperlink"/>
      <w:u w:val="single"/>
    </w:rPr>
  </w:style>
  <w:style w:type="character" w:customStyle="1" w:styleId="Mencinsinresolver1">
    <w:name w:val="Mención sin resolver1"/>
    <w:basedOn w:val="Fuentedeprrafopredeter"/>
    <w:uiPriority w:val="99"/>
    <w:semiHidden/>
    <w:unhideWhenUsed/>
    <w:rsid w:val="00A67EB7"/>
    <w:rPr>
      <w:color w:val="605E5C"/>
      <w:shd w:val="clear" w:color="auto" w:fill="E1DFDD"/>
    </w:rPr>
  </w:style>
  <w:style w:type="character" w:styleId="Hipervnculovisitado">
    <w:name w:val="FollowedHyperlink"/>
    <w:basedOn w:val="Fuentedeprrafopredeter"/>
    <w:uiPriority w:val="99"/>
    <w:semiHidden/>
    <w:unhideWhenUsed/>
    <w:rsid w:val="00B35596"/>
    <w:rPr>
      <w:color w:val="2B506D" w:themeColor="followedHyperlink"/>
      <w:u w:val="single"/>
    </w:rPr>
  </w:style>
  <w:style w:type="character" w:customStyle="1" w:styleId="Ttulo3Car">
    <w:name w:val="Título 3 Car"/>
    <w:basedOn w:val="Fuentedeprrafopredeter"/>
    <w:link w:val="Ttulo3"/>
    <w:uiPriority w:val="9"/>
    <w:rsid w:val="00171150"/>
    <w:rPr>
      <w:rFonts w:ascii="Gotham Book" w:hAnsi="Gotham Book"/>
      <w:color w:val="FF0000" w:themeColor="accent1"/>
      <w:sz w:val="32"/>
      <w:szCs w:val="28"/>
      <w:lang w:val="en-US"/>
    </w:rPr>
  </w:style>
  <w:style w:type="paragraph" w:styleId="Prrafodelista">
    <w:name w:val="List Paragraph"/>
    <w:basedOn w:val="Normal"/>
    <w:uiPriority w:val="34"/>
    <w:qFormat/>
    <w:rsid w:val="00F805F1"/>
    <w:pPr>
      <w:spacing w:after="160" w:line="252" w:lineRule="auto"/>
      <w:ind w:left="720"/>
      <w:contextualSpacing/>
      <w:jc w:val="left"/>
    </w:pPr>
    <w:rPr>
      <w:rFonts w:ascii="Calibri" w:hAnsi="Calibri" w:cs="Calibri"/>
      <w:sz w:val="22"/>
      <w:szCs w:val="22"/>
    </w:rPr>
  </w:style>
  <w:style w:type="paragraph" w:customStyle="1" w:styleId="paragraph">
    <w:name w:val="paragraph"/>
    <w:basedOn w:val="Normal"/>
    <w:rsid w:val="00A63728"/>
    <w:pPr>
      <w:spacing w:before="100" w:beforeAutospacing="1" w:after="100" w:afterAutospacing="1"/>
      <w:jc w:val="left"/>
    </w:pPr>
    <w:rPr>
      <w:rFonts w:ascii="Times New Roman" w:eastAsia="Times New Roman" w:hAnsi="Times New Roman" w:cs="Times New Roman"/>
      <w:sz w:val="24"/>
      <w:szCs w:val="24"/>
      <w:lang w:eastAsia="fr-FR"/>
    </w:rPr>
  </w:style>
  <w:style w:type="character" w:customStyle="1" w:styleId="normaltextrun">
    <w:name w:val="normaltextrun"/>
    <w:basedOn w:val="Fuentedeprrafopredeter"/>
    <w:rsid w:val="00A63728"/>
  </w:style>
  <w:style w:type="paragraph" w:styleId="Textodeglobo">
    <w:name w:val="Balloon Text"/>
    <w:basedOn w:val="Normal"/>
    <w:link w:val="TextodegloboCar"/>
    <w:uiPriority w:val="99"/>
    <w:semiHidden/>
    <w:unhideWhenUsed/>
    <w:rsid w:val="00C74B2A"/>
    <w:rPr>
      <w:rFonts w:ascii="Tahoma" w:hAnsi="Tahoma" w:cs="Tahoma"/>
      <w:sz w:val="16"/>
      <w:szCs w:val="16"/>
    </w:rPr>
  </w:style>
  <w:style w:type="character" w:customStyle="1" w:styleId="TextodegloboCar">
    <w:name w:val="Texto de globo Car"/>
    <w:basedOn w:val="Fuentedeprrafopredeter"/>
    <w:link w:val="Textodeglobo"/>
    <w:uiPriority w:val="99"/>
    <w:semiHidden/>
    <w:rsid w:val="00C74B2A"/>
    <w:rPr>
      <w:rFonts w:ascii="Tahoma" w:hAnsi="Tahoma" w:cs="Tahoma"/>
      <w:sz w:val="16"/>
      <w:szCs w:val="16"/>
    </w:rPr>
  </w:style>
  <w:style w:type="character" w:customStyle="1" w:styleId="Ttulo4Car">
    <w:name w:val="Título 4 Car"/>
    <w:basedOn w:val="Fuentedeprrafopredeter"/>
    <w:link w:val="Ttulo4"/>
    <w:uiPriority w:val="9"/>
    <w:semiHidden/>
    <w:rsid w:val="00DD1B91"/>
    <w:rPr>
      <w:rFonts w:asciiTheme="majorHAnsi" w:eastAsiaTheme="majorEastAsia" w:hAnsiTheme="majorHAnsi" w:cstheme="majorBidi"/>
      <w:b/>
      <w:bCs/>
      <w:i/>
      <w:iCs/>
      <w:color w:val="FF0000" w:themeColor="accent1"/>
      <w:sz w:val="20"/>
      <w:szCs w:val="20"/>
    </w:rPr>
  </w:style>
  <w:style w:type="character" w:styleId="Textoennegrita">
    <w:name w:val="Strong"/>
    <w:basedOn w:val="Fuentedeprrafopredeter"/>
    <w:uiPriority w:val="22"/>
    <w:qFormat/>
    <w:rsid w:val="00DD1B91"/>
    <w:rPr>
      <w:b/>
      <w:bCs/>
    </w:rPr>
  </w:style>
  <w:style w:type="character" w:customStyle="1" w:styleId="UnresolvedMention">
    <w:name w:val="Unresolved Mention"/>
    <w:basedOn w:val="Fuentedeprrafopredeter"/>
    <w:uiPriority w:val="99"/>
    <w:semiHidden/>
    <w:unhideWhenUsed/>
    <w:rsid w:val="000F20A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5563390">
      <w:bodyDiv w:val="1"/>
      <w:marLeft w:val="0"/>
      <w:marRight w:val="0"/>
      <w:marTop w:val="0"/>
      <w:marBottom w:val="0"/>
      <w:divBdr>
        <w:top w:val="none" w:sz="0" w:space="0" w:color="auto"/>
        <w:left w:val="none" w:sz="0" w:space="0" w:color="auto"/>
        <w:bottom w:val="none" w:sz="0" w:space="0" w:color="auto"/>
        <w:right w:val="none" w:sz="0" w:space="0" w:color="auto"/>
      </w:divBdr>
    </w:div>
    <w:div w:id="506947464">
      <w:bodyDiv w:val="1"/>
      <w:marLeft w:val="0"/>
      <w:marRight w:val="0"/>
      <w:marTop w:val="0"/>
      <w:marBottom w:val="0"/>
      <w:divBdr>
        <w:top w:val="none" w:sz="0" w:space="0" w:color="auto"/>
        <w:left w:val="none" w:sz="0" w:space="0" w:color="auto"/>
        <w:bottom w:val="none" w:sz="0" w:space="0" w:color="auto"/>
        <w:right w:val="none" w:sz="0" w:space="0" w:color="auto"/>
      </w:divBdr>
    </w:div>
    <w:div w:id="1073431585">
      <w:bodyDiv w:val="1"/>
      <w:marLeft w:val="0"/>
      <w:marRight w:val="0"/>
      <w:marTop w:val="0"/>
      <w:marBottom w:val="0"/>
      <w:divBdr>
        <w:top w:val="none" w:sz="0" w:space="0" w:color="auto"/>
        <w:left w:val="none" w:sz="0" w:space="0" w:color="auto"/>
        <w:bottom w:val="none" w:sz="0" w:space="0" w:color="auto"/>
        <w:right w:val="none" w:sz="0" w:space="0" w:color="auto"/>
      </w:divBdr>
    </w:div>
    <w:div w:id="1921596097">
      <w:bodyDiv w:val="1"/>
      <w:marLeft w:val="0"/>
      <w:marRight w:val="0"/>
      <w:marTop w:val="0"/>
      <w:marBottom w:val="0"/>
      <w:divBdr>
        <w:top w:val="none" w:sz="0" w:space="0" w:color="auto"/>
        <w:left w:val="none" w:sz="0" w:space="0" w:color="auto"/>
        <w:bottom w:val="none" w:sz="0" w:space="0" w:color="auto"/>
        <w:right w:val="none" w:sz="0" w:space="0" w:color="auto"/>
      </w:divBdr>
    </w:div>
    <w:div w:id="213951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mailto:santiago@1love.com.a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facebook.com/TotalEnergiesChile/" TargetMode="External"/><Relationship Id="rId17" Type="http://schemas.openxmlformats.org/officeDocument/2006/relationships/hyperlink" Target="mailto:micaela.ravina@totalenergies.com" TargetMode="External"/><Relationship Id="rId2" Type="http://schemas.openxmlformats.org/officeDocument/2006/relationships/customXml" Target="../customXml/item2.xml"/><Relationship Id="rId16" Type="http://schemas.openxmlformats.org/officeDocument/2006/relationships/hyperlink" Target="https://www.linkedin.com/showcase/totalenergies-mobility-solution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www.totalenergies.cl"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stagram.com/totalenergies_c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0336528\OneDrive%20-%20TotalEnergies\CP\TEMPLATE\TotalEnergies\EN_PR_Affiliate_Template.dotx" TargetMode="External"/></Relationships>
</file>

<file path=word/theme/theme1.xml><?xml version="1.0" encoding="utf-8"?>
<a:theme xmlns:a="http://schemas.openxmlformats.org/drawingml/2006/main" name="Thème Office">
  <a:themeElements>
    <a:clrScheme name="TOTALENERGIE5">
      <a:dk1>
        <a:srgbClr val="000000"/>
      </a:dk1>
      <a:lt1>
        <a:srgbClr val="FFFFFF"/>
      </a:lt1>
      <a:dk2>
        <a:srgbClr val="374649"/>
      </a:dk2>
      <a:lt2>
        <a:srgbClr val="FFFFFF"/>
      </a:lt2>
      <a:accent1>
        <a:srgbClr val="FF0000"/>
      </a:accent1>
      <a:accent2>
        <a:srgbClr val="497D91"/>
      </a:accent2>
      <a:accent3>
        <a:srgbClr val="2859FF"/>
      </a:accent3>
      <a:accent4>
        <a:srgbClr val="FFC800"/>
      </a:accent4>
      <a:accent5>
        <a:srgbClr val="95E500"/>
      </a:accent5>
      <a:accent6>
        <a:srgbClr val="009BFF"/>
      </a:accent6>
      <a:hlink>
        <a:srgbClr val="285AFF"/>
      </a:hlink>
      <a:folHlink>
        <a:srgbClr val="2B506D"/>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71e454b-5934-4c1c-bd10-3ee0380a2389" xsi:nil="true"/>
    <lcf76f155ced4ddcb4097134ff3c332f xmlns="2488286e-3728-425c-9644-d2959a7c558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42623C15EF694380269AA6AEFFD190" ma:contentTypeVersion="16" ma:contentTypeDescription="Crée un document." ma:contentTypeScope="" ma:versionID="495e3f27cb0651236701e77561b5a71b">
  <xsd:schema xmlns:xsd="http://www.w3.org/2001/XMLSchema" xmlns:xs="http://www.w3.org/2001/XMLSchema" xmlns:p="http://schemas.microsoft.com/office/2006/metadata/properties" xmlns:ns2="2488286e-3728-425c-9644-d2959a7c558d" xmlns:ns3="571e454b-5934-4c1c-bd10-3ee0380a2389" targetNamespace="http://schemas.microsoft.com/office/2006/metadata/properties" ma:root="true" ma:fieldsID="6f23699d8c06fa1901bdc635a76dd4b7" ns2:_="" ns3:_="">
    <xsd:import namespace="2488286e-3728-425c-9644-d2959a7c558d"/>
    <xsd:import namespace="571e454b-5934-4c1c-bd10-3ee0380a23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88286e-3728-425c-9644-d2959a7c55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d7a317d-19e9-4a41-b675-f2bd41b4cab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71e454b-5934-4c1c-bd10-3ee0380a2389"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884c7e1-c898-4bca-995b-ffee2c745f2c}" ma:internalName="TaxCatchAll" ma:showField="CatchAllData" ma:web="571e454b-5934-4c1c-bd10-3ee0380a23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9A7B3-823A-46A9-A251-3A2C837375FC}">
  <ds:schemaRefs>
    <ds:schemaRef ds:uri="http://schemas.microsoft.com/office/2006/metadata/properties"/>
    <ds:schemaRef ds:uri="http://schemas.microsoft.com/office/infopath/2007/PartnerControls"/>
    <ds:schemaRef ds:uri="571e454b-5934-4c1c-bd10-3ee0380a2389"/>
    <ds:schemaRef ds:uri="2488286e-3728-425c-9644-d2959a7c558d"/>
  </ds:schemaRefs>
</ds:datastoreItem>
</file>

<file path=customXml/itemProps2.xml><?xml version="1.0" encoding="utf-8"?>
<ds:datastoreItem xmlns:ds="http://schemas.openxmlformats.org/officeDocument/2006/customXml" ds:itemID="{4EFD61CD-4BB1-4114-9130-FD8A89730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88286e-3728-425c-9644-d2959a7c558d"/>
    <ds:schemaRef ds:uri="571e454b-5934-4c1c-bd10-3ee0380a2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7B9EBF-84D9-4A20-8D68-5C1F2E2D0B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EN_PR_Affiliate_Template</Template>
  <TotalTime>25</TotalTime>
  <Pages>2</Pages>
  <Words>920</Words>
  <Characters>5063</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PAILHORIES</dc:creator>
  <cp:lastModifiedBy>pc</cp:lastModifiedBy>
  <cp:revision>4</cp:revision>
  <dcterms:created xsi:type="dcterms:W3CDTF">2022-08-25T14:43:00Z</dcterms:created>
  <dcterms:modified xsi:type="dcterms:W3CDTF">2022-09-02T19:29:00Z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30ed1b-e95f-40b5-af89-828263f287a7_Enabled">
    <vt:lpwstr>true</vt:lpwstr>
  </property>
  <property fmtid="{D5CDD505-2E9C-101B-9397-08002B2CF9AE}" pid="3" name="MSIP_Label_2b30ed1b-e95f-40b5-af89-828263f287a7_SetDate">
    <vt:lpwstr>2021-11-05T08:39:18Z</vt:lpwstr>
  </property>
  <property fmtid="{D5CDD505-2E9C-101B-9397-08002B2CF9AE}" pid="4" name="MSIP_Label_2b30ed1b-e95f-40b5-af89-828263f287a7_Method">
    <vt:lpwstr>Standard</vt:lpwstr>
  </property>
  <property fmtid="{D5CDD505-2E9C-101B-9397-08002B2CF9AE}" pid="5" name="MSIP_Label_2b30ed1b-e95f-40b5-af89-828263f287a7_Name">
    <vt:lpwstr>2b30ed1b-e95f-40b5-af89-828263f287a7</vt:lpwstr>
  </property>
  <property fmtid="{D5CDD505-2E9C-101B-9397-08002B2CF9AE}" pid="6" name="MSIP_Label_2b30ed1b-e95f-40b5-af89-828263f287a7_SiteId">
    <vt:lpwstr>329e91b0-e21f-48fb-a071-456717ecc28e</vt:lpwstr>
  </property>
  <property fmtid="{D5CDD505-2E9C-101B-9397-08002B2CF9AE}" pid="7" name="MSIP_Label_2b30ed1b-e95f-40b5-af89-828263f287a7_ActionId">
    <vt:lpwstr>643364d3-81ff-4e3e-8f42-c969bc168efd</vt:lpwstr>
  </property>
  <property fmtid="{D5CDD505-2E9C-101B-9397-08002B2CF9AE}" pid="8" name="MSIP_Label_2b30ed1b-e95f-40b5-af89-828263f287a7_ContentBits">
    <vt:lpwstr>0</vt:lpwstr>
  </property>
  <property fmtid="{D5CDD505-2E9C-101B-9397-08002B2CF9AE}" pid="9" name="ContentTypeId">
    <vt:lpwstr>0x010100AA42623C15EF694380269AA6AEFFD190</vt:lpwstr>
  </property>
  <property fmtid="{D5CDD505-2E9C-101B-9397-08002B2CF9AE}" pid="10" name="MediaServiceImageTags">
    <vt:lpwstr/>
  </property>
</Properties>
</file>