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ELCLÁSICO SE VIVIÓ A LO GRANDE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En el Autocine Al Río de Martínez, los fanáticos pudieron disfrutar del partido entre Barcelona y Real Madrid en un evento exclusivo que tuvo muchas sorpresas.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i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0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Buenos Aires, 26 Octubre de 2020 - </w:t>
      </w:r>
      <w:r w:rsidDel="00000000" w:rsidR="00000000" w:rsidRPr="00000000">
        <w:rPr>
          <w:rtl w:val="0"/>
        </w:rPr>
        <w:t xml:space="preserve">El pasado sábado, se vivió una experiencia única de la mano de Total Argentina en el Autocine Al Río de Martínez. </w:t>
      </w:r>
      <w:r w:rsidDel="00000000" w:rsidR="00000000" w:rsidRPr="00000000">
        <w:rPr>
          <w:b w:val="1"/>
          <w:rtl w:val="0"/>
        </w:rPr>
        <w:t xml:space="preserve">Los fanáticos del fútbol pudieron disfrutar del partido más importante de LaLiga Santander, ElClásico entre el FC. Barcelona y el Real Madrid </w:t>
      </w:r>
      <w:r w:rsidDel="00000000" w:rsidR="00000000" w:rsidRPr="00000000">
        <w:rPr>
          <w:rtl w:val="0"/>
        </w:rPr>
        <w:t xml:space="preserve">que se disputó a las 11:00 hs. en el Camp Nou.</w:t>
      </w:r>
    </w:p>
    <w:p w:rsidR="00000000" w:rsidDel="00000000" w:rsidP="00000000" w:rsidRDefault="00000000" w:rsidRPr="00000000" w14:paraId="00000005">
      <w:pPr>
        <w:spacing w:before="200"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Total Argentina, sponsor oficial de LaLiga Santander en nuestro país,</w:t>
      </w:r>
      <w:r w:rsidDel="00000000" w:rsidR="00000000" w:rsidRPr="00000000">
        <w:rPr>
          <w:rtl w:val="0"/>
        </w:rPr>
        <w:t xml:space="preserve"> sorteó 5 auto-entradas en sus redes sociales, para que los seguidores puedan disfrutar del mejor fútbol español y </w:t>
      </w:r>
      <w:r w:rsidDel="00000000" w:rsidR="00000000" w:rsidRPr="00000000">
        <w:rPr>
          <w:b w:val="1"/>
          <w:rtl w:val="0"/>
        </w:rPr>
        <w:t xml:space="preserve">vivir una experiencia exclusiva</w:t>
      </w:r>
      <w:r w:rsidDel="00000000" w:rsidR="00000000" w:rsidRPr="00000000">
        <w:rPr>
          <w:rtl w:val="0"/>
        </w:rPr>
        <w:t xml:space="preserve"> frente al río en el autocine.</w:t>
      </w:r>
    </w:p>
    <w:p w:rsidR="00000000" w:rsidDel="00000000" w:rsidP="00000000" w:rsidRDefault="00000000" w:rsidRPr="00000000" w14:paraId="00000006">
      <w:pPr>
        <w:spacing w:before="200" w:line="360" w:lineRule="auto"/>
        <w:jc w:val="both"/>
        <w:rPr/>
      </w:pPr>
      <w:r w:rsidDel="00000000" w:rsidR="00000000" w:rsidRPr="00000000">
        <w:rPr>
          <w:rtl w:val="0"/>
        </w:rPr>
        <w:t xml:space="preserve">El evento comenzó por la mañana, a las 09.30 hs. con un brunch para esperar el comienzo del partido. Durante el encuentro, hubo sorpresas, DJ en vivo, celebridades e influencers de la talla de Tato Aguilera, Juan Cortese, Morena Beltran, Evelina Cabrera y Fernando Carlos, entre otros. En el entretiempo, Diego Korol realizó sorteos con importantes premios y en la terraza la Copa de LaLiga posó para las fotos. </w:t>
      </w:r>
      <w:r w:rsidDel="00000000" w:rsidR="00000000" w:rsidRPr="00000000">
        <w:rPr>
          <w:b w:val="1"/>
          <w:rtl w:val="0"/>
        </w:rPr>
        <w:t xml:space="preserve">El mismo contó con todos los protocolos sanitarios correspondientes, con un máximo de 5 personas por auto</w:t>
      </w:r>
      <w:r w:rsidDel="00000000" w:rsidR="00000000" w:rsidRPr="00000000">
        <w:rPr>
          <w:rtl w:val="0"/>
        </w:rPr>
        <w:t xml:space="preserve"> y las normas necesarias para garantizar la salud de todos los concurrentes.</w:t>
      </w:r>
    </w:p>
    <w:p w:rsidR="00000000" w:rsidDel="00000000" w:rsidP="00000000" w:rsidRDefault="00000000" w:rsidRPr="00000000" w14:paraId="00000007">
      <w:pPr>
        <w:spacing w:before="200" w:line="360" w:lineRule="auto"/>
        <w:jc w:val="both"/>
        <w:rPr/>
      </w:pPr>
      <w:r w:rsidDel="00000000" w:rsidR="00000000" w:rsidRPr="00000000">
        <w:rPr>
          <w:rtl w:val="0"/>
        </w:rPr>
        <w:t xml:space="preserve">En los próximos meses, </w:t>
      </w:r>
      <w:r w:rsidDel="00000000" w:rsidR="00000000" w:rsidRPr="00000000">
        <w:rPr>
          <w:b w:val="1"/>
          <w:rtl w:val="0"/>
        </w:rPr>
        <w:t xml:space="preserve">Total Argentina seguirá realizando sorteos y eventos como sponsor oficial de LaLiga Santander. </w:t>
      </w:r>
      <w:r w:rsidDel="00000000" w:rsidR="00000000" w:rsidRPr="00000000">
        <w:rPr>
          <w:rtl w:val="0"/>
        </w:rPr>
        <w:t xml:space="preserve">Si te gusta el fútbol, seguí todas las alternativas de LaLiga en las redes sociales de Total Argentina y enterate de las novedades.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Acerca de Total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Total es un grupo multienergético, que produce y comercializa combustibles, gas natural y electricidad baja en carbono. Nuestros 100.000 empleados están comprometidos con una energía mejor, más segura, más asequible y más limpia que sea accesible para la mayor cantidad de personas posible. Presente en más de 130 países, nuestra ambición es convertirnos en el líder energético responsable.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238125" cy="238125"/>
            <wp:effectExtent b="0" l="0" r="0" t="0"/>
            <wp:docPr descr="https://cdn1.iconfinder.com/data/icons/logotypes/32/twitter-128.png" id="6" name="image4.png"/>
            <a:graphic>
              <a:graphicData uri="http://schemas.openxmlformats.org/drawingml/2006/picture">
                <pic:pic>
                  <pic:nvPicPr>
                    <pic:cNvPr descr="https://cdn1.iconfinder.com/data/icons/logotypes/32/twitter-128.png"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</w:rPr>
        <w:drawing>
          <wp:inline distB="0" distT="0" distL="0" distR="0">
            <wp:extent cx="247650" cy="247650"/>
            <wp:effectExtent b="0" l="0" r="0" t="0"/>
            <wp:docPr descr="http://3835642c2693476aa717-d4b78efce91b9730bcca725cf9bb0b37.r51.cf1.rackcdn.com/Instagram_App_Large_May2016_200.png" id="8" name="image2.png"/>
            <a:graphic>
              <a:graphicData uri="http://schemas.openxmlformats.org/drawingml/2006/picture">
                <pic:pic>
                  <pic:nvPicPr>
                    <pic:cNvPr descr="http://3835642c2693476aa717-d4b78efce91b9730bcca725cf9bb0b37.r51.cf1.rackcdn.com/Instagram_App_Large_May2016_200.png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</w:rPr>
        <w:drawing>
          <wp:inline distB="0" distT="0" distL="0" distR="0">
            <wp:extent cx="247650" cy="247650"/>
            <wp:effectExtent b="0" l="0" r="0" t="0"/>
            <wp:docPr descr="http://cdn01.pelfusion.com/wp-content/uploads/2013/04/facebook-logo.jpg" id="7" name="image1.jpg"/>
            <a:graphic>
              <a:graphicData uri="http://schemas.openxmlformats.org/drawingml/2006/picture">
                <pic:pic>
                  <pic:nvPicPr>
                    <pic:cNvPr descr="http://cdn01.pelfusion.com/wp-content/uploads/2013/04/facebook-logo.jpg"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0"/>
          <w:szCs w:val="20"/>
        </w:rPr>
        <w:drawing>
          <wp:inline distB="0" distT="0" distL="0" distR="0">
            <wp:extent cx="409575" cy="247650"/>
            <wp:effectExtent b="0" l="0" r="0" t="0"/>
            <wp:docPr descr="YouTube | Desain logo" id="10" name="image5.png"/>
            <a:graphic>
              <a:graphicData uri="http://schemas.openxmlformats.org/drawingml/2006/picture">
                <pic:pic>
                  <pic:nvPicPr>
                    <pic:cNvPr descr="YouTube | Desain logo" id="0" name="image5.png"/>
                    <pic:cNvPicPr preferRelativeResize="0"/>
                  </pic:nvPicPr>
                  <pic:blipFill>
                    <a:blip r:embed="rId10"/>
                    <a:srcRect b="19352" l="0" r="0" t="1935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47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0"/>
          <w:szCs w:val="20"/>
          <w:rtl w:val="0"/>
        </w:rPr>
        <w:t xml:space="preserve">    </w:t>
        <w:br w:type="textWrapping"/>
      </w:r>
      <w:r w:rsidDel="00000000" w:rsidR="00000000" w:rsidRPr="00000000">
        <w:rPr>
          <w:b w:val="1"/>
          <w:rtl w:val="0"/>
        </w:rPr>
        <w:t xml:space="preserve">@TotalArgentina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7" w:line="246" w:lineRule="auto"/>
        <w:ind w:left="72" w:firstLine="0"/>
        <w:jc w:val="center"/>
        <w:rPr/>
      </w:pPr>
      <w:r w:rsidDel="00000000" w:rsidR="00000000" w:rsidRPr="00000000">
        <w:rPr>
          <w:rtl w:val="0"/>
        </w:rPr>
        <w:t xml:space="preserve">* * * * *</w:t>
      </w:r>
    </w:p>
    <w:p w:rsidR="00000000" w:rsidDel="00000000" w:rsidP="00000000" w:rsidRDefault="00000000" w:rsidRPr="00000000" w14:paraId="0000000D">
      <w:pPr>
        <w:spacing w:after="0" w:lineRule="auto"/>
        <w:ind w:right="72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Contactos relación con medios</w:t>
      </w:r>
    </w:p>
    <w:p w:rsidR="00000000" w:rsidDel="00000000" w:rsidP="00000000" w:rsidRDefault="00000000" w:rsidRPr="00000000" w14:paraId="0000000E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Dolores Serrano | </w:t>
      </w:r>
      <w:hyperlink r:id="rId11">
        <w:r w:rsidDel="00000000" w:rsidR="00000000" w:rsidRPr="00000000">
          <w:rPr>
            <w:color w:val="0000ff"/>
            <w:u w:val="single"/>
            <w:rtl w:val="0"/>
          </w:rPr>
          <w:t xml:space="preserve">dolores.serrano@total.com.ar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Micaela Ravina | </w:t>
      </w:r>
      <w:hyperlink r:id="rId12">
        <w:r w:rsidDel="00000000" w:rsidR="00000000" w:rsidRPr="00000000">
          <w:rPr>
            <w:color w:val="0000ff"/>
            <w:u w:val="single"/>
            <w:rtl w:val="0"/>
          </w:rPr>
          <w:t xml:space="preserve">micaela.ravina@total.com.ar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advertencia</w:t>
      </w:r>
    </w:p>
    <w:p w:rsidR="00000000" w:rsidDel="00000000" w:rsidP="00000000" w:rsidRDefault="00000000" w:rsidRPr="00000000" w14:paraId="00000012">
      <w:pPr>
        <w:spacing w:before="2" w:line="206" w:lineRule="auto"/>
        <w:ind w:right="72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Este comunicado de prensa, del cual no se pueden extraer consecuencias legales, es solo para fines informativos. Las entidades en las que TOTAL S.A. directa o indirectamente posee inversiones son entidades legales separadas. TOTAL S.A. no tiene responsabilidad por sus actos u omisiones. En este documento, los términos "Total" y "Grupo Total" se usan a veces por conveniencia cuando se hacen referencias generales a TOTAL S.A. y / o sus subsidiarias. Del mismo modo, las palabras "nosotros", "nosotros" y "nuestro" también se pueden usar para referirse a las subsidiarias en general o a aquellos que trabajan para ellas.</w:t>
      </w:r>
    </w:p>
    <w:p w:rsidR="00000000" w:rsidDel="00000000" w:rsidP="00000000" w:rsidRDefault="00000000" w:rsidRPr="00000000" w14:paraId="00000013">
      <w:pPr>
        <w:spacing w:before="2" w:line="206" w:lineRule="auto"/>
        <w:ind w:right="72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Este documento puede contener información y declaraciones prospectivas que se basan en una serie de datos económicos y supuestos realizados en un entorno económico, competitivo y regulatorio determinado. Pueden resultar inexactos en el futuro y están sujetos a una serie de factores de riesgo. Ni TOTAL S.A. ni ninguna de sus subsidiarias asume ninguna obligación de actualizar públicamente ninguna información o declaración prospectiva, objetivos o tendencias contenidas en este documento, ya sea como resultado de nueva información, eventos futuros u otros.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Arial" w:cs="Arial" w:eastAsia="Arial" w:hAnsi="Arial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footerReference r:id="rId15" w:type="default"/>
      <w:footerReference r:id="rId16" w:type="first"/>
      <w:pgSz w:h="16838" w:w="11906" w:orient="portrait"/>
      <w:pgMar w:bottom="1417" w:top="900" w:left="990" w:right="1196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lack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0" w:line="240" w:lineRule="auto"/>
      <w:ind w:left="142" w:right="-203" w:firstLine="0"/>
      <w:rPr>
        <w:rFonts w:ascii="Arial Black" w:cs="Arial Black" w:eastAsia="Arial Black" w:hAnsi="Arial Black"/>
        <w:b w:val="1"/>
        <w:color w:val="e10032"/>
        <w:sz w:val="36"/>
        <w:szCs w:val="36"/>
        <w:vertAlign w:val="superscript"/>
      </w:rPr>
    </w:pPr>
    <w:r w:rsidDel="00000000" w:rsidR="00000000" w:rsidRPr="00000000">
      <w:rPr/>
      <w:drawing>
        <wp:inline distB="0" distT="0" distL="0" distR="0">
          <wp:extent cx="2033773" cy="508959"/>
          <wp:effectExtent b="0" l="0" r="0" t="0"/>
          <wp:docPr id="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33773" cy="50895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                                   </w:t>
    </w:r>
    <w:r w:rsidDel="00000000" w:rsidR="00000000" w:rsidRPr="00000000">
      <w:rPr>
        <w:rFonts w:ascii="Helvetica Neue" w:cs="Helvetica Neue" w:eastAsia="Helvetica Neue" w:hAnsi="Helvetica Neue"/>
        <w:b w:val="1"/>
        <w:color w:val="cc0000"/>
        <w:sz w:val="32"/>
        <w:szCs w:val="32"/>
        <w:rtl w:val="0"/>
      </w:rPr>
      <w:t xml:space="preserve">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spacing w:after="0" w:line="240" w:lineRule="auto"/>
      <w:jc w:val="right"/>
      <w:rPr>
        <w:rFonts w:ascii="Arial Black" w:cs="Arial Black" w:eastAsia="Arial Black" w:hAnsi="Arial Black"/>
        <w:color w:val="e10032"/>
        <w:sz w:val="36"/>
        <w:szCs w:val="36"/>
      </w:rPr>
    </w:pPr>
    <w:r w:rsidDel="00000000" w:rsidR="00000000" w:rsidRPr="00000000">
      <w:rPr>
        <w:rFonts w:ascii="Helvetica Neue" w:cs="Helvetica Neue" w:eastAsia="Helvetica Neue" w:hAnsi="Helvetica Neue"/>
        <w:b w:val="1"/>
        <w:color w:val="cc0000"/>
        <w:sz w:val="40"/>
        <w:szCs w:val="40"/>
        <w:vertAlign w:val="superscript"/>
        <w:rtl w:val="0"/>
      </w:rPr>
      <w:tab/>
      <w:tab/>
      <w:tab/>
      <w:tab/>
      <w:t xml:space="preserve">                     </w:t>
    </w:r>
    <w:r w:rsidDel="00000000" w:rsidR="00000000" w:rsidRPr="00000000">
      <w:rPr>
        <w:rFonts w:ascii="Arial Black" w:cs="Arial Black" w:eastAsia="Arial Black" w:hAnsi="Arial Black"/>
        <w:color w:val="e10032"/>
        <w:sz w:val="36"/>
        <w:szCs w:val="36"/>
        <w:rtl w:val="0"/>
      </w:rPr>
      <w:t xml:space="preserve">Comunicado de Prensa </w:t>
    </w:r>
  </w:p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0" w:line="240" w:lineRule="auto"/>
      <w:jc w:val="right"/>
      <w:rPr>
        <w:rFonts w:ascii="Arial Black" w:cs="Arial Black" w:eastAsia="Arial Black" w:hAnsi="Arial Black"/>
        <w:color w:val="e10032"/>
        <w:sz w:val="36"/>
        <w:szCs w:val="36"/>
      </w:rPr>
    </w:pPr>
    <w:r w:rsidDel="00000000" w:rsidR="00000000" w:rsidRPr="00000000">
      <w:rPr>
        <w:rFonts w:ascii="Arial Black" w:cs="Arial Black" w:eastAsia="Arial Black" w:hAnsi="Arial Black"/>
        <w:b w:val="1"/>
        <w:color w:val="e10032"/>
        <w:sz w:val="36"/>
        <w:szCs w:val="36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A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0" w:before="40"/>
      <w:outlineLvl w:val="2"/>
    </w:pPr>
    <w:rPr>
      <w:rFonts w:ascii="Cambria" w:cs="Cambria" w:eastAsia="Cambria" w:hAnsi="Cambria"/>
      <w:color w:val="243f61"/>
      <w:sz w:val="24"/>
      <w:szCs w:val="24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D609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D6099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dolores.serrano@total.com.ar" TargetMode="External"/><Relationship Id="rId10" Type="http://schemas.openxmlformats.org/officeDocument/2006/relationships/image" Target="media/image5.png"/><Relationship Id="rId13" Type="http://schemas.openxmlformats.org/officeDocument/2006/relationships/header" Target="header2.xml"/><Relationship Id="rId12" Type="http://schemas.openxmlformats.org/officeDocument/2006/relationships/hyperlink" Target="mailto:micaela.ravina@total.com.ar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15" Type="http://schemas.openxmlformats.org/officeDocument/2006/relationships/footer" Target="footer2.xml"/><Relationship Id="rId14" Type="http://schemas.openxmlformats.org/officeDocument/2006/relationships/header" Target="header1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ArialBlack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IVK2zN01buax7a1CgNiFwioO/A==">AMUW2mX9KKLP3wAFOzS/uIvmbvK6u7reDet5wPGOrHFuVaB9OoSYl8i+jMDqXB+KTFfwFXNADFMl9+6n5yVRnuwh+lxwKTMTc+IV3ceEW8UmIkV9f4pdlFg=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2020-10-22T19:33:00Z</dcterms:created>
</cp:coreProperties>
</file>